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6725-2024 i Umeå kommun</w:t>
      </w:r>
    </w:p>
    <w:p>
      <w:r>
        <w:t>Detta dokument behandlar höga naturvärden i avverkningsanmälan A 6725-2024 i Umeå kommun. Denna avverkningsanmälan inkom 2024-02-20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cylinderskägglav (EN), gropig skägglav (VU), granticka (NT), spillkråka (NT, §4), talltita (NT, §4), ullticka (NT), violettgrå tagellav (NT), björksplintborre (S), nästlav (S), thomsons trägnagare (S), vedticka (S), vågbandad barkbock (S), kungsfågel (§4),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6725-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7093912, E 759803 i SWEREF 99 TM.</w:t>
      </w:r>
    </w:p>
    <w:p>
      <w:r>
        <w:rPr>
          <w:b/>
        </w:rPr>
        <w:t>Cylinderskägglav (EN)</w:t>
      </w:r>
      <w:r>
        <w:t xml:space="preserve"> växer främst på gran men förekommer även på lövträd i äldre barrskogar av naturskogskaraktär med hög och jämn luftfuktighet. Skogsbruksåtgärder som kan minska luftfuktigheten och sänka markvattennivån på eller i närheten av växtplatserna utgör hot. Lokaler där arten förekommer bör skyddas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kungsfågel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