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38689-2021 i Umeå kommun</w:t>
      </w:r>
    </w:p>
    <w:p>
      <w:r>
        <w:t>Detta dokument behandlar höga naturvärden i avverkningsanmälan A 38689-2021 i Umeå kommun. Denna avverkningsanmälan inkom 2021-07-30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gulbandad brunbagge (NT) och rödhalsad vedsvampbagge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8689-2021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7089712, E 750817 i SWEREF 99 TM.</w:t>
      </w:r>
    </w:p>
    <w:p>
      <w:r>
        <w:rPr>
          <w:b/>
        </w:rPr>
        <w:t>Gulbandad brunbagge (NT)</w:t>
      </w:r>
      <w:r>
        <w:t xml:space="preserve"> är en skalbagge vars larvutveckling sker under mycelhaltig bark och i vitrötad barr- och lövträdsved. Främst i liggande, döda granstammar i fuktigt och skuggigt läge, angripna av violticka (</w:t>
      </w:r>
      <w:r>
        <w:rPr>
          <w:i/>
        </w:rPr>
        <w:t>Trichaptum abietinum</w:t>
      </w:r>
      <w:r>
        <w:t>). Arten är även påträffad på tall, björk, asp, lind, al, bok, avenbok, ek och alm. Skalbaggarna kläcks i juli och övervintrar. Slutavverkning är förödande för arten. Även gallring inverkar starkt negativt eftersom man därvid ofta tar tillvara liggande stammar så att substrattillgången minskar. Vidare leder gallring till uttorkning, vilket försämrar förutsättningarna för utvecklingen av vedsvampar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