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38554-2024 i Umeå kommun</w:t>
      </w:r>
    </w:p>
    <w:p>
      <w:r>
        <w:t>Detta klagomål behandlar höga naturvärden i avverkningsanmälan A 38554-2024 i Umeå kommun som inkom 2024-09-11 och omfattar 11,8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A 38554-2024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7092453, E 752868 i SWEREF 99 TM.</w:t>
      </w:r>
    </w:p>
    <w:p>
      <w:r>
        <w:t>I och inom 24 meter från avverkningsanmälan finns fynd av 24 naturvårdsarter, varav 21 är rödlistade, 2 är fridlysta, 8 är typiska (T) och 2 är signalarter (S): goliatmusseron (VU, T), lakritsmusseron (VU, T), laxgröppa (VU), skrovlig taggsvamp (VU), smalfotad taggsvamp (VU), torrmusseron (VU), blå taggsvamp (NT, T), dropptaggsvamp (NT, T), mjölsvärting (NT), motaggsvamp (NT, T), orange taggsvamp (NT, T), Phellodon aquiloniniger (NT), skarp dropptaggsvamp (NT), svartvit taggsvamp (NT), tallkötticka (NT), tallriska (NT), talltaggsvamp (NT), tallticka (NT, T), talltita (NT, §4), vaddporing (NT), vitplätt (NT), gullgröppa (S), smal svampklubba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