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45663-2024 i Umeå kommun</w:t>
      </w:r>
    </w:p>
    <w:p>
      <w:r>
        <w:t>Denna tillsynsbegäran behandlar höga naturvärden i avverkningsanmälan A 45663-2024 i Umeå kommun som inkom 2024-10-14 och omfattar 24,7 ha.</w:t>
      </w:r>
    </w:p>
    <w:p>
      <w:pPr>
        <w:pStyle w:val="Caption"/>
      </w:pPr>
      <w:r>
        <w:drawing>
          <wp:inline xmlns:a="http://schemas.openxmlformats.org/drawingml/2006/main" xmlns:pic="http://schemas.openxmlformats.org/drawingml/2006/picture">
            <wp:extent cx="5486400" cy="4454638"/>
            <wp:docPr id="1" name="Picture 1"/>
            <wp:cNvGraphicFramePr>
              <a:graphicFrameLocks noChangeAspect="1"/>
            </wp:cNvGraphicFramePr>
            <a:graphic>
              <a:graphicData uri="http://schemas.openxmlformats.org/drawingml/2006/picture">
                <pic:pic>
                  <pic:nvPicPr>
                    <pic:cNvPr id="0" name="A 45663-2024 karta.png"/>
                    <pic:cNvPicPr/>
                  </pic:nvPicPr>
                  <pic:blipFill>
                    <a:blip r:embed="rId16"/>
                    <a:stretch>
                      <a:fillRect/>
                    </a:stretch>
                  </pic:blipFill>
                  <pic:spPr>
                    <a:xfrm>
                      <a:off x="0" y="0"/>
                      <a:ext cx="5486400" cy="445463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7095497, E 753215 i SWEREF 99 TM.</w:t>
      </w:r>
    </w:p>
    <w:p>
      <w:r>
        <w:t>I och inom 25 meter från avverkningsanmälan finns fynd av 41 naturvårdsarter, varav 26 är rödlistade, 6 är fridlysta, 10 är typiska (T) och 9 är signalarter (S): goliatmusseron (VU, T), jättemusseron (VU), lakritsmusseron (VU, T), lateritticka (VU), skrovlig taggsvamp (VU), smalfotad taggsvamp (VU), spadskinn (VU), tajgataggsvamp (VU), tallgråticka (VU), torrmusseron (VU), violett fingersvamp (VU), blå taggsvamp (NT, T), dropptaggsvamp (NT, T), klofibbla (NT), ljus ängsfingersvamp (NT), mjölsvärting (NT), motaggsvamp (NT, T), orange taggsvamp (NT, T), Phellodon aquiloniniger (NT), skarp dropptaggsvamp (NT), sparvuggla (NT, §4), tallkötticka (NT), tallriska (NT), talltita (NT, §4), vaddporing (NT), vitplätt (NT), broskvaxing (S), fjällig jordtunga (S), honungsvaxing (S), nästlav (S, T), sprödvaxing (S), svart jordtunga (S), vitvaxing agg. (S), ängsfingersvamp (S), ängsvaxing agg. (S), spillkråka (T, §4), svart taggsvamp agg. (T), tallört (aggregat) (T), kungsfågel (§4), huggorm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Violett fingersvamp (VU) </w:t>
      </w:r>
      <w:r>
        <w:t>har ett okänt levnadssätt och växer i örtrika och magra betesmarker, hackslåttängar och örtbackar samt i park- och örtrika skogsmiljöer. Ett extensivt bete av gles skogsmark och av mosaikartade trädklädda miljöer med omväxlande gräs-/örtrika gläntor där arten förekommer är mycket gynnsamt och bör eftersträvas. Skogsmiljöer av den typ arten trivs i har ofta ett stort skyddsvärde och eventuellt skogsbruk måste på dessa platser bedrivas skonsamt. Violett fingersvamp</w:t>
      </w:r>
      <w:r>
        <w:rPr>
          <w:b/>
        </w:rPr>
        <w:t xml:space="preserve"> </w:t>
      </w:r>
      <w:r>
        <w:t>är globalt rödlistad som sårbar (VU) vilket innebär att Sverige har ett internationellt ansvar för arten (SLU Artdatabanken, 2024; IUCN,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Ljus ängsfingersvamp (NT) </w:t>
      </w:r>
      <w:r>
        <w:t>växer i mossig grässvål i naturbetesmark och skogar såsom hässlen och ädellövskog, oftast på kalkrik mark. Förekommer till skillnad från många andra små fingersvampar lika ofta i skogsmiljöer som i naturbetesmarker. Skogsmiljöer av den typ arten trivs i har ofta ett stort skyddsvärde och eventuellt skogsbruk på dessa platser bör bedrivas skonsamt (SLU Artdatabanken, 2024).</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goliatmusseron (VU, T), lakritsmusseron (VU, T), blå taggsvamp (NT, T), dropptaggsvamp (NT, T), motaggsvamp (NT, T), orange taggsvamp (NT, T), nästlav (S, T), spillkråka (T, §4), svart taggsvamp agg. (T) och tallört (aggregat)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