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som inkom 2025-03-31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(NT, §4), skrattmås (NT, §4), talltita (NT, §4), videsparv (T, §4), havsörn (§4), kråka (§4), smålom (§4), sångsvan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2"/>
      </w:pPr>
      <w:r>
        <w:t>Fridlysta arter</w:t>
      </w:r>
    </w:p>
    <w:p>
      <w:r>
        <w:t>Följande fridlysta arter har sina livsmiljöer och växtplatser i den avverkningsanmälda skogen: gråtrut (VU, §4), kricka (NT, §4), skrattmås (NT, §4), talltita (NT, §4), videsparv (T, §4), havsörn (§4), kråka (§4), smålom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