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25549-2026 i Umeå kommun</w:t>
      </w:r>
    </w:p>
    <w:p>
      <w:r>
        <w:t>Detta dokument behandlar höga naturvärden i avverkningsanmälan A 25549-2026 i Umeå kommun som inkom 2026-06-04 och omfattar 8,9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52742" cy="5688000"/>
            <wp:docPr id="1" name="Picture 1"/>
            <wp:cNvGraphicFramePr>
              <a:graphicFrameLocks noChangeAspect="1"/>
            </wp:cNvGraphicFramePr>
            <a:graphic>
              <a:graphicData uri="http://schemas.openxmlformats.org/drawingml/2006/picture">
                <pic:pic>
                  <pic:nvPicPr>
                    <pic:cNvPr id="0" name="A 25549-2026 karta.png"/>
                    <pic:cNvPicPr/>
                  </pic:nvPicPr>
                  <pic:blipFill>
                    <a:blip r:embed="rId16"/>
                    <a:stretch>
                      <a:fillRect/>
                    </a:stretch>
                  </pic:blipFill>
                  <pic:spPr>
                    <a:xfrm>
                      <a:off x="0" y="0"/>
                      <a:ext cx="505274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7105438, E 775458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(VU, T), dropptaggsvamp (NT, T), talltita (NT, §4), ullticka (NT, T) och vedticka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