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45657-2024 i Umeå kommun</w:t>
      </w:r>
    </w:p>
    <w:p>
      <w:r>
        <w:t>Detta klagomål behandlar höga naturvärden i avverkningsanmälan A 45657-2024 i Umeå kommun som inkom 2024-10-14 och omfattar 1,8 ha.</w:t>
      </w:r>
    </w:p>
    <w:p>
      <w:pPr>
        <w:pStyle w:val="Caption"/>
      </w:pPr>
      <w:r>
        <w:drawing>
          <wp:inline xmlns:a="http://schemas.openxmlformats.org/drawingml/2006/main" xmlns:pic="http://schemas.openxmlformats.org/drawingml/2006/picture">
            <wp:extent cx="5486400" cy="4378888"/>
            <wp:docPr id="1" name="Picture 1"/>
            <wp:cNvGraphicFramePr>
              <a:graphicFrameLocks noChangeAspect="1"/>
            </wp:cNvGraphicFramePr>
            <a:graphic>
              <a:graphicData uri="http://schemas.openxmlformats.org/drawingml/2006/picture">
                <pic:pic>
                  <pic:nvPicPr>
                    <pic:cNvPr id="0" name="A 45657-2024 karta.png"/>
                    <pic:cNvPicPr/>
                  </pic:nvPicPr>
                  <pic:blipFill>
                    <a:blip r:embed="rId16"/>
                    <a:stretch>
                      <a:fillRect/>
                    </a:stretch>
                  </pic:blipFill>
                  <pic:spPr>
                    <a:xfrm>
                      <a:off x="0" y="0"/>
                      <a:ext cx="5486400" cy="43788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7094727, E 752781 i SWEREF 99 TM.</w:t>
      </w:r>
    </w:p>
    <w:p>
      <w:r>
        <w:t>I och inom 18 meter från avverkningsanmälan finns fynd av 13 naturvårdsarter, varav 12 är rödlistade, 2 är fridlysta och 4 är typiska (T): goliatmusseron (VU, T), gräddporing (VU, T), skrovlig taggsvamp (VU), smalfotad taggsvamp (VU), spadskinn (VU), tajgataggsvamp (VU), torrmusseron (VU), blå taggsvamp (NT, T), orange taggsvamp (NT, T), skarp dropptaggsvamp (NT), svartvit taggsvamp (NT), talltita (NT, §4)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