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40297-2022 i Umeå kommun</w:t>
      </w:r>
    </w:p>
    <w:p>
      <w:r>
        <w:t>Detta dokument behandlar höga naturvärden i avverkningsanmälan A 40297-2022 i Umeå kommun. Denna avverkningsanmälan inkom 2022-09-17 och omfattar 7,8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 I BILAGA 1 finns artfakta om fridlysta arter.</w:t>
      </w:r>
    </w:p>
    <w:p>
      <w:pPr>
        <w:pStyle w:val="Heading1"/>
      </w:pPr>
      <w:r>
        <w:t>Naturvårdsarter</w:t>
      </w:r>
    </w:p>
    <w:p>
      <w:r>
        <w:t>I avverkningsanmälan har följande 23 naturvårdsarter hittats: lakritsmusseron (VU), tallgråticka (VU), blå taggsvamp (NT), garnlav (NT), granticka (NT), kilporing (NT), motaggsvamp (NT), orange taggsvamp (NT), skrovlig taggsvamp (NT), spillkråka (NT, §4), ullticka (NT), vaddporing (NT), violettgrå tagellav (NT), vitplätt (NT), äggvaxskivling (NT), blodticka (S), bronshjon (S), dropptaggsvamp (S), gullgröppa (S), nästlav (S), skarp dropptaggsvamp (S), vedticka (S) och fläcknycklar (§8). Av dessa är 15 rödlistade. För rödlistade arter har rödlistekategorin angivits inom parentes.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290732"/>
            <wp:docPr id="1" name="Picture 1"/>
            <wp:cNvGraphicFramePr>
              <a:graphicFrameLocks noChangeAspect="1"/>
            </wp:cNvGraphicFramePr>
            <a:graphic>
              <a:graphicData uri="http://schemas.openxmlformats.org/drawingml/2006/picture">
                <pic:pic>
                  <pic:nvPicPr>
                    <pic:cNvPr id="0" name="A 40297-2022 karta.png"/>
                    <pic:cNvPicPr/>
                  </pic:nvPicPr>
                  <pic:blipFill>
                    <a:blip r:embed="rId16"/>
                    <a:stretch>
                      <a:fillRect/>
                    </a:stretch>
                  </pic:blipFill>
                  <pic:spPr>
                    <a:xfrm>
                      <a:off x="0" y="0"/>
                      <a:ext cx="5486400" cy="4290732"/>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7085106, E 754636 i SWEREF 99 TM.</w:t>
      </w:r>
    </w:p>
    <w:p>
      <w:pPr>
        <w:pStyle w:val="Heading1"/>
      </w:pPr>
      <w:r>
        <w:t>Fridlysta arter</w:t>
      </w:r>
    </w:p>
    <w:p>
      <w:r>
        <w:t>Följande fridlysta arter har sina livsmiljöer och växtplatser i den avverkningsanmälda skogen: spillkråka (NT, §4) och fläcknycklar (§8).</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rPr>
          <w:b/>
        </w:rPr>
        <w:t>Spillkråka (NT, §4)</w:t>
      </w:r>
      <w:r>
        <w:t xml:space="preserve"> är rödlistad som nära hotad och ingår i bilaga 1 i EU:s fågeldirektiv. Den minskar i population på grund av minskad tillgång på lämpliga bo- och födoträd och minskad födotillgång. Spillkråkans minskningstakt har uppgått till 19 (24-10) % under de senaste 15 åren. Minskningstakten för den svenska populationen bedöms vara nära gränsvärdet för Sårbar (VU) (A2bc). Skogsbruk med korta omloppstider och täta, homogena ungskogar utgör det största hotet, (SLU Artdatabanken, 2023).</w:t>
      </w:r>
    </w:p>
    <w:p>
      <w:r>
        <w:t>I BILAGA 1 finns mer detaljerad information om ekologi samt krav på livsmiljö hos fridlysta arter.</w:t>
      </w:r>
    </w:p>
    <w:p>
      <w:r>
        <w:br w:type="page"/>
      </w:r>
    </w:p>
    <w:p>
      <w:pPr>
        <w:pStyle w:val="Title"/>
      </w:pPr>
      <w:r>
        <w:t>BILAGA 1 - Fridlysta arter</w:t>
      </w:r>
    </w:p>
    <w:p>
      <w:pPr>
        <w:pStyle w:val="Heading1"/>
      </w:pPr>
      <w:r>
        <w:t>Spillkråka – ekologi samt krav på livsmiljön</w:t>
      </w:r>
    </w:p>
    <w:p>
      <w:r>
        <w:t>Spillkråka (NT) är rödlistad som nära hotad, fridlyst enligt §4 Artskyddsförordningen och ingår i bilaga 1 i EU:s fågeldirektiv. Spillkråka lever i både barr- och blandskog liksom i ren lövskog. De tätaste populationerna tenderar att finnas i äldre, variationsrik blandskog med gott om död ved och gamla träd. Varje par utnyttjar 400-1 000 hektar skog beroende på skogens kvalitet. En minskning av populationen pågår på grund av minskad tillgång på lämpliga bo- och födoträd och minskad födotillgång. Spillkråkans minskningstakt har uppgått till 19 (24-10) % under de senaste 15 åren. Skogsbruk med korta omloppstider och täta, homogena ungskogar utgör det största hotet (Artdatabanken 2023).</w:t>
      </w:r>
    </w:p>
    <w:p>
      <w:pPr>
        <w:pStyle w:val="Heading2"/>
      </w:pPr>
      <w:r>
        <w:t>Referenser - spillkråka</w:t>
      </w:r>
    </w:p>
    <w:p>
      <w:r>
        <w:t xml:space="preserve">SLU Artdatabanken, 2021.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2024-10-01</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