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klagomål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42 naturvårdsarter, varav 30 är rödlistade, 16 är fridlysta, 20 är typiska (T) och 4 är signalarter (S): hornuggla (EN, §4), stjärtand (EN, §4), garnlav (VU, T), goliatmusseron (VU, T), lakritsmusseron (VU, T), smalfotad taggsvamp (VU), torrmusseron (VU), dropptaggsvamp (NT, T), fjällig taggsvamp s.str. (NT), grantaggsvamp (NT), gravand (NT, §4), göktyta (NT, §4), harticka (NT, T), kortskaftad ärgspik (NT), mjölsvärting (NT), motaggsvamp (NT, T), orange taggsvamp (NT, T), Phellodon aquiloniniger (NT), sandrottryffel (NT), skarp dropptaggsvamp (NT), skräntärna (NT, §4), sparvuggla (NT, §4), stjärntagging (NT, T), strandskata (NT, §4), tallkötticka (NT), talltagel (NT, T), talltaggsvamp (NT), talltita (NT, §4), tretåig hackspett (NT, T, §4), vaddporing (NT), grovticka (S, T), gullgröppa (S), nästlav (S, T), vedticka (S, T), bergfink (T, §4), järpe (T, §4), linnea (T), nattskärra (T, §4), spillkråka (T, §4), tofsmes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