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21611-2025 i Umeå kommun</w:t>
      </w:r>
    </w:p>
    <w:p>
      <w:r>
        <w:t>Detta dokument behandlar höga naturvärden i avverkningsanmälan A 21611-2025 i Umeå kommun. Denna avverkningsanmälan inkom 2025-05-06 09:25:45 och omfattar 18,6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rynkskinn (VU), smal trollknäppare (VU), tallbit (VU, §4), baltiskt skogsfly (NT), doftskinn (NT), garnlav (NT), granticka (NT), grå blåbärsfältmätare (NT), mindre bockrotsplattmal (NT), murvägstekel (NT), skogsfältmätare (NT), tiofläckig vedsvampbagge (NT), mörk kådsvartspik (DD), mörk husmossa (S), skuggblåslav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122775"/>
            <wp:docPr id="1" name="Picture 1"/>
            <wp:cNvGraphicFramePr>
              <a:graphicFrameLocks noChangeAspect="1"/>
            </wp:cNvGraphicFramePr>
            <a:graphic>
              <a:graphicData uri="http://schemas.openxmlformats.org/drawingml/2006/picture">
                <pic:pic>
                  <pic:nvPicPr>
                    <pic:cNvPr id="0" name="A 21611-2025 karta.png"/>
                    <pic:cNvPicPr/>
                  </pic:nvPicPr>
                  <pic:blipFill>
                    <a:blip r:embed="rId16"/>
                    <a:stretch>
                      <a:fillRect/>
                    </a:stretch>
                  </pic:blipFill>
                  <pic:spPr>
                    <a:xfrm>
                      <a:off x="0" y="0"/>
                      <a:ext cx="5486400" cy="112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7087590, E 789962 i SWEREF 99 TM.</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 xml:space="preserve">Tiofläckig vedsvampbagge (NT) </w:t>
      </w:r>
      <w:r>
        <w:t>är en skalbagge vars larvutveckling sker i fruktkroppar av olika vedsvampar på lövträd. I de södra delarna av utbredningsområdet ofta i svavelticka på ek och fnöskticka eller sprängticka på bok, norrut ofta fnöskticka eller sprängticka på björk. Arten är också funnen talrikt i bokdyna på bokved. Arten hotas av bristen på lämpligt utvecklingssubstrat. Spara mer lövrika bestånd med gammal björk och gråal i skogslandskapet, speciellt i den norra delen av landet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