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dokument behandlar höga naturvärden i avverkningsanmälan A 45663-2024 i Umeå kommun. Denna avverkningsanmälan inkom 2024-10-14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goliatmusseron (VU), jättemusseron (VU), lakritsmusseron (VU), lateritticka (VU), smalfotad taggsvamp (VU), spadskinn (VU), tallgråticka (VU), torrmusseron (VU), violett fingersvamp (VU), blå taggsvamp (NT), klofibbla (NT), mjölsvärting (NT), motaggsvamp (NT), orange taggsvamp (NT), skrovlig taggsvamp (NT), spillkråka (NT, §4), svart taggsvamp agg. (NT), talltita (NT, §4), vaddporing (NT), vitplätt (NT), dropptaggsvamp (S), skarp dropptaggsvamp (S), svart jordtunga (S), kungsfågel (§4), huggorm (§6) och vanlig padda (§6).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kungsfågel (§4), huggorm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