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38688-2021 i Umeå kommun</w:t>
      </w:r>
    </w:p>
    <w:p>
      <w:r>
        <w:t>Detta klagomål behandlar höga naturvärden i avverkningsanmälan A 38688-2021 i Umeå kommun som inkom 2021-07-30 och omfattar 1,6 ha.</w:t>
      </w:r>
    </w:p>
    <w:p>
      <w:pPr>
        <w:pStyle w:val="Caption"/>
      </w:pPr>
      <w:r>
        <w:drawing>
          <wp:inline xmlns:a="http://schemas.openxmlformats.org/drawingml/2006/main" xmlns:pic="http://schemas.openxmlformats.org/drawingml/2006/picture">
            <wp:extent cx="5486400" cy="5548574"/>
            <wp:docPr id="1" name="Picture 1"/>
            <wp:cNvGraphicFramePr>
              <a:graphicFrameLocks noChangeAspect="1"/>
            </wp:cNvGraphicFramePr>
            <a:graphic>
              <a:graphicData uri="http://schemas.openxmlformats.org/drawingml/2006/picture">
                <pic:pic>
                  <pic:nvPicPr>
                    <pic:cNvPr id="0" name="A 38688-2021 karta.png"/>
                    <pic:cNvPicPr/>
                  </pic:nvPicPr>
                  <pic:blipFill>
                    <a:blip r:embed="rId16"/>
                    <a:stretch>
                      <a:fillRect/>
                    </a:stretch>
                  </pic:blipFill>
                  <pic:spPr>
                    <a:xfrm>
                      <a:off x="0" y="0"/>
                      <a:ext cx="5486400" cy="554857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7089703, E 751022 i SWEREF 99 TM.</w:t>
      </w:r>
    </w:p>
    <w:p>
      <w:r>
        <w:t>I och inom 23 meter från avverkningsanmälan finns fynd av 21 naturvårdsarter, varav 11 är rödlistade, 9 är fridlysta, 5 är typiska (T) och 4 är signalarter (S): drillsnäppa (NT, §4), kricka (NT, §4), nordfladdermus (NT, §4a), skrattmås (NT, §4), springkornsfältmätare (NT), storfläckig kungsnattslända (NT), stubbträfluga (NT), tajgahumla (NT), turkos blåvinge (NT), vitfläckig guldvinge (NT), älvstarr (NT, T), björksplintborre (S), köseven (S), myskbock (S), strutbräken (S, T), bergsslok (T), blåsippa (T, §9), järpe (T, §4), tajgafladdermus (§4a), vattenfladdermus (§4a)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Springkornsfältmätare (NT)</w:t>
      </w:r>
      <w:r>
        <w:t xml:space="preserve"> är den minst sällsynta av gruppen rödlistade mätarearter som är knutna till springkorn och fjärilen förekommer upp till Västernorrland på isolerade lundlokaler med riklig förekomst av värdväxten. Den uttorkningskänsliga och veka värdväxten springkorn hotas främst av dräneringsåtgärder och kalavverkning samt eventuellt även av den införda växten blekbalsamin. Springkornsfältmätare är en bra signalart för värdefulla livsmiljöer knutna till springkorn. Livsmiljöerna, exempelvis alkärr och albevuxna strandzoner bör aldrig kalavverkas eller beröras av dikningsföretag (SLU Artdatabanken, 2024).</w:t>
      </w:r>
    </w:p>
    <w:p>
      <w:r>
        <w:rPr>
          <w:b/>
        </w:rPr>
        <w:t>Storfläckig kungsnattslända (NT)</w:t>
      </w:r>
      <w:r>
        <w:t xml:space="preserve"> lever i syrgasrikt rinnande vatten med medelhöga pH-värden, ofta omgivna av tät och skuggande blandskog. Arten hotas sannolikt av försurning och strandnära skogsbruk. Vid de vatten som idag hyser arten bör man bilda blandskogsbevuxna skyddszoner längs stränderna samt undvika reglering (SLU Artdatabanken, 2026).</w:t>
      </w:r>
    </w:p>
    <w:p>
      <w:r>
        <w:rPr>
          <w:b/>
        </w:rPr>
        <w:t xml:space="preserve">Stubbträfluga (NT) </w:t>
      </w:r>
      <w:r>
        <w:t>är en liten gulbrun fluga som känns igen på sina tjocka, håriga och mörkfärgade antennborst. Dess larver lever i murken ved, arten har kläckts ur murkna björk- och gråalstammar. Brist på lämpligt substrat för larvutvecklingen begränsar sannolikt artens förekomst. Avverkning och bortrensning av död ved i raviner och strandskogar innebär ett påtagligt hot. Avstå från avverkning och utrensning av undertryckta eller sjuka träd och liggande grenar och stammar (SLU Artdatabanken, 2025).</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Bergsslok </w:t>
      </w:r>
      <w:r>
        <w:t xml:space="preserve">är typisk art för </w:t>
      </w:r>
      <w:r>
        <w:rPr>
          <w:i/>
        </w:rPr>
        <w:t>9190 Näringsfattig ekskog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