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2991-2026 i Umeå kommun</w:t>
      </w:r>
    </w:p>
    <w:p>
      <w:r>
        <w:t>Denna tillsynsbegäran behandlar höga naturvärden i avverkningsanmälan A 2991-2026 i Umeå kommun som inkom 2026-01-16 och omfattar 35,3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2991-2026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7083538, E 772276 i SWEREF 99 TM.</w:t>
      </w:r>
    </w:p>
    <w:p>
      <w:r>
        <w:t>I och inom 13 meter från avverkningsanmälan finns fynd av 17 naturvårdsarter, varav 14 är rödlistade, 6 är fridlysta, 7 är typiska (T) och 2 är signalarter (S): stjärtand (EN, §4), goliatmusseron (VU, T), smalfotad taggsvamp (VU), dropptaggsvamp (NT, T), fjällig taggsvamp s.str. (NT), grantaggsvamp (NT), gravand (NT, §4), göktyta (NT, §4), motaggsvamp (NT, T), sandrottryffel (NT), skräntärna (NT, §4), strandskata (NT, §4), talltagel (NT, T), talltaggsvamp (NT), grovticka (S, T), nästlav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dropptaggsvamp (NT, T), motaggsvamp (NT, T), talltagel (NT, T), grovticka (S, T), nästlav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