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49802-2025 i Lycksele kommun</w:t>
      </w:r>
    </w:p>
    <w:p>
      <w:r>
        <w:t>Detta dokument behandlar höga naturvärden i avverkningsanmälan A 49802-2025 i Lycksele kommun. Denna avverkningsanmälan inkom 2025-10-10 09:54:41 och omfattar 20,9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kolflarnlav (NT), mörk kolflarnlav (NT), orange taggsvamp (NT) och plattlummer (S, §9). Av dessa är 3 rödlistade. För rödlistade arter har rödlistekategorin angivits inom parentes. Arter som är signalarter enligt Skogsstyrelsen har markerats med (S).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832817"/>
            <wp:docPr id="1" name="Picture 1"/>
            <wp:cNvGraphicFramePr>
              <a:graphicFrameLocks noChangeAspect="1"/>
            </wp:cNvGraphicFramePr>
            <a:graphic>
              <a:graphicData uri="http://schemas.openxmlformats.org/drawingml/2006/picture">
                <pic:pic>
                  <pic:nvPicPr>
                    <pic:cNvPr id="0" name="A 49802-2025 karta.png"/>
                    <pic:cNvPicPr/>
                  </pic:nvPicPr>
                  <pic:blipFill>
                    <a:blip r:embed="rId16"/>
                    <a:stretch>
                      <a:fillRect/>
                    </a:stretch>
                  </pic:blipFill>
                  <pic:spPr>
                    <a:xfrm>
                      <a:off x="0" y="0"/>
                      <a:ext cx="5486400" cy="3832817"/>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7213372, E 658091 i SWEREF 99 TM.</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 xml:space="preserve">Orange taggsvamp (NT) </w:t>
      </w:r>
      <w:r>
        <w:t xml:space="preserve">bildar mykorrhiza med både gran och tall och den förekommer främst i äldre barrskogar med kontinuitetsskogskaraktär. Mest frekvent är den i äldre mossrik granskog, men då bara i skogar inom granens naturliga utbredningsområde och i bestånd med långvarig grankontinuitet. Den totala populationen i landet bedöms ha minskat kraftigt och fortsatt kommer att minska då arten är knuten till en produktiv skogsmiljö som successivt avverkas. Arten hotas främst av skogsavverkning och tycks försvinna efter slutavverkning, markberedning och plantering och det är inte känt att arten har återkommit i anlagd skog på tidigare kalmark. Orange taggsvamp är typisk art för </w:t>
      </w:r>
      <w:r>
        <w:rPr>
          <w:i/>
        </w:rPr>
        <w:t>9010 Taiga</w:t>
      </w:r>
      <w:r>
        <w:t xml:space="preserve"> (SLU Artdatabanken, 2024).</w:t>
      </w:r>
    </w:p>
    <w:p>
      <w:pPr>
        <w:pStyle w:val="Heading1"/>
      </w:pPr>
      <w:r>
        <w:t>Fridlysta arter</w:t>
      </w:r>
    </w:p>
    <w:p>
      <w:r>
        <w:t>Följande fridlysta arter har sina livsmiljöer och växtplatser i den avverkningsanmälda skogen: plattlummer (S, §9).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(VU, §8) och mellanlummer (VU, §9), vilka båda omfattas av EU:s art- och habitatdirektiv. Plattlummer är typisk art för </w:t>
      </w:r>
      <w:r>
        <w:rPr>
          <w:i/>
        </w:rPr>
        <w:t xml:space="preserve">9010 Taiga </w:t>
      </w:r>
      <w:r>
        <w:t>och</w:t>
      </w:r>
      <w:r>
        <w:rPr>
          <w:i/>
        </w:rPr>
        <w:t xml:space="preserve"> 2320 Rissandhedar </w:t>
      </w:r>
      <w:r>
        <w:t>(Nitare &amp; Skogsstyrelsen, 2019; 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2026-06-17</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