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14717-2020</w:t>
      </w:r>
      <w:r w:rsidR="00C9278C">
        <w:t xml:space="preserve"> </w:t>
      </w:r>
      <w:r w:rsidRPr="00C9278C">
        <w:t>finns</w:t>
      </w:r>
      <w:r w:rsidR="00153BF2">
        <w:t xml:space="preserve"> </w:t>
      </w:r>
      <w:r w:rsidR="00C77A28">
        <w:t>artfynd av</w:t>
      </w:r>
      <w:r w:rsidR="00CB335E">
        <w:t xml:space="preserve"> </w:t>
      </w:r>
      <w:r w:rsidR="005D0317" w:rsidRPr="005D0317">
        <w:t>drillsnäppa, spillkråka, stenfalk, sångsvan, talltita och tornseglare</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dessa arter</w:t>
      </w:r>
      <w:r w:rsidR="00153BF2">
        <w:t>.</w:t>
      </w:r>
      <w:r>
        <w:t xml:space="preserve"> </w:t>
      </w:r>
      <w:r w:rsidR="00C9278C" w:rsidRPr="00C9278C">
        <w:t xml:space="preserve">Det avverkningsanmälda området hyser miljöer lämpliga för </w:t>
      </w:r>
      <w:r w:rsidR="00E128F7">
        <w:t>arterna</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drillsnäppa, spillkråka, stenfalk, sångsvan, talltita och tornseglare</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