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32758-2025 i Lycksele kommun</w:t>
      </w:r>
    </w:p>
    <w:p>
      <w:r>
        <w:t>Detta dokument behandlar höga naturvärden i avverkningsanmälan A 32758-2025 i Lycksele kommun som inkom 2025-07-01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(VU, T), gammelgransskål (NT, T), spindelblomster (S, T, §8), spillkråka (T, §4), fläcknycklar (§8) och revlummer (§9). Av dessa är 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32758-2025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7163130, E 642041 i SWEREF 99 TM.</w:t>
      </w:r>
    </w:p>
    <w:p>
      <w:pPr>
        <w:pStyle w:val="Heading2"/>
      </w:pPr>
      <w:r>
        <w:t>Fridlysta arter</w:t>
      </w:r>
    </w:p>
    <w:p>
      <w:r>
        <w:t>Följande fridlysta arter har sina livsmiljöer och växtplatser i den avverkningsanmälda skogen: spindelblomster (S, T, §8), spillkråka (T,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2"/>
      </w:pPr>
      <w:r>
        <w:t>Övriga naturvårdsarter</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