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Arten är placerad högst upp i Skogsstyrelsens värdepyramid för bedömning av skog med höga naturvärden och kända lokaler bör undantas från storskaligt skogsbruk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