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28531-2026 i Lycksele kommun</w:t>
      </w:r>
    </w:p>
    <w:p>
      <w:r>
        <w:t>Denna tillsynsbegäran behandlar höga naturvärden i avverkningsanmälan A 28531-2026 i Lycksele kommun som inkom 2026-06-24 och omfattar 25,2 ha.</w:t>
      </w:r>
    </w:p>
    <w:p>
      <w:pPr>
        <w:pStyle w:val="Caption"/>
      </w:pPr>
      <w:r>
        <w:drawing>
          <wp:inline xmlns:a="http://schemas.openxmlformats.org/drawingml/2006/main" xmlns:pic="http://schemas.openxmlformats.org/drawingml/2006/picture">
            <wp:extent cx="5486400" cy="5412871"/>
            <wp:docPr id="1" name="Picture 1"/>
            <wp:cNvGraphicFramePr>
              <a:graphicFrameLocks noChangeAspect="1"/>
            </wp:cNvGraphicFramePr>
            <a:graphic>
              <a:graphicData uri="http://schemas.openxmlformats.org/drawingml/2006/picture">
                <pic:pic>
                  <pic:nvPicPr>
                    <pic:cNvPr id="0" name="A 28531-2026 karta.png"/>
                    <pic:cNvPicPr/>
                  </pic:nvPicPr>
                  <pic:blipFill>
                    <a:blip r:embed="rId16"/>
                    <a:stretch>
                      <a:fillRect/>
                    </a:stretch>
                  </pic:blipFill>
                  <pic:spPr>
                    <a:xfrm>
                      <a:off x="0" y="0"/>
                      <a:ext cx="5486400" cy="5412871"/>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7133833, E 691689 i SWEREF 99 TM.</w:t>
      </w:r>
    </w:p>
    <w:p>
      <w:r>
        <w:t>I och inom 19 meter från avverkningsanmälan finns fynd av 8 naturvårdsarter, varav 3 är rödlistade, 5 är fridlysta, 5 är typiska (T) och 3 är signalarter (S): garnlav (VU, T), nordfladdermus (NT, §4a), violettgrå tagellav (NT, T), korallrot (S, T, §8), spindelblomster (S, T, §8), ögonpyrola (S, T), utter (§4a) och vattenfladdermus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violettgrå tagellav (NT, T), korallrot (S, T, §8), spindelblomster (S, T, §8) och ögonpyrola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