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41223-2024 i Lycksele kommun</w:t>
      </w:r>
    </w:p>
    <w:p>
      <w:r>
        <w:t>Denna tillsynsbegäran behandlar höga naturvärden i avverkningsanmälan A 41223-2024 i Lycksele kommun som inkom 2024-09-24 och omfattar 5,4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1223-2024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7118290, E 679650 i SWEREF 99 TM.</w:t>
      </w:r>
    </w:p>
    <w:p>
      <w:r>
        <w:t>I och inom 2 meter från avverkningsanmälan finns fynd av 18 naturvårdsarter, varav 9 är rödlistade, 9 är fridlysta, 13 är typiska (T) och 4 är signalarter (S): garnlav (VU, T), knärot (VU, T, §8), harticka (NT, T), lavskrika (NT, T, §4), talltita (NT, §4), tretåig hackspett (NT, T, §4), vedskivlav (NT, T), violettgrå tagellav (NT, T), vitgrynig nållav (NT), gulnål (S, T), norrlandslav (S, T), trådticka (S, T), vedticka (S, T), spillkråka (T, §4), tjäder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996242"/>
            <wp:docPr id="2" name="Picture 2"/>
            <wp:cNvGraphicFramePr>
              <a:graphicFrameLocks noChangeAspect="1"/>
            </wp:cNvGraphicFramePr>
            <a:graphic>
              <a:graphicData uri="http://schemas.openxmlformats.org/drawingml/2006/picture">
                <pic:pic>
                  <pic:nvPicPr>
                    <pic:cNvPr id="0" name="A 41223-2024 karta knärot.png"/>
                    <pic:cNvPicPr/>
                  </pic:nvPicPr>
                  <pic:blipFill>
                    <a:blip r:embed="rId17"/>
                    <a:stretch>
                      <a:fillRect/>
                    </a:stretch>
                  </pic:blipFill>
                  <pic:spPr>
                    <a:xfrm>
                      <a:off x="0" y="0"/>
                      <a:ext cx="5486400" cy="6996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7118290, E 679650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lavskrika (NT, T, §4), tretåig hackspett (NT, T, §4), vedskivlav (NT, T), violettgrå tagellav (NT, T), gulnål (S, T), norrlandslav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