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16914-2024 i Lycksele kommun</w:t>
      </w:r>
    </w:p>
    <w:p>
      <w:r>
        <w:t>Denna tillsynsbegäran behandlar höga naturvärden i avverkningsanmälan A 16914-2024 i Lycksele kommun som inkom 2024-04-29 och omfattar 24,6 ha.</w:t>
      </w:r>
    </w:p>
    <w:p>
      <w:pPr>
        <w:pStyle w:val="Caption"/>
      </w:pPr>
      <w:r>
        <w:drawing>
          <wp:inline xmlns:a="http://schemas.openxmlformats.org/drawingml/2006/main" xmlns:pic="http://schemas.openxmlformats.org/drawingml/2006/picture">
            <wp:extent cx="5427449" cy="5724000"/>
            <wp:docPr id="1" name="Picture 1"/>
            <wp:cNvGraphicFramePr>
              <a:graphicFrameLocks noChangeAspect="1"/>
            </wp:cNvGraphicFramePr>
            <a:graphic>
              <a:graphicData uri="http://schemas.openxmlformats.org/drawingml/2006/picture">
                <pic:pic>
                  <pic:nvPicPr>
                    <pic:cNvPr id="0" name="A 16914-2024 karta.png"/>
                    <pic:cNvPicPr/>
                  </pic:nvPicPr>
                  <pic:blipFill>
                    <a:blip r:embed="rId16"/>
                    <a:stretch>
                      <a:fillRect/>
                    </a:stretch>
                  </pic:blipFill>
                  <pic:spPr>
                    <a:xfrm>
                      <a:off x="0" y="0"/>
                      <a:ext cx="542744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7135327, E 673047 i SWEREF 99 TM.</w:t>
      </w:r>
    </w:p>
    <w:p>
      <w:r>
        <w:t>I avverkningsanmälan finns fynd av 2 naturvårdsarter, varav 2 är rödlistade, 2 är fridlysta och 2 är typiska (T): lavskrika (NT, T, §4)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