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39376-2019 i Lycksele kommun</w:t>
      </w:r>
    </w:p>
    <w:p>
      <w:r>
        <w:t>Detta dokument behandlar höga naturvärden i avverkningsanmälan A 39376-2019 i Lycksele kommun. Denna avverkningsanmälan inkom 2019-08-13 och omfattar 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brunpudrad nållav (NT), gammelgransskål (NT), garnlav (NT), granticka (NT), harticka (NT), rosenticka (NT), talltita (NT, §4), tretåig hackspett (NT, §4), ullticka (NT), vitgrynig nållav (NT), vitskaftad svartspik (NT), gulnål (S), kornig nållav (S), trådticka (S)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1344"/>
            <wp:docPr id="1" name="Picture 1"/>
            <wp:cNvGraphicFramePr>
              <a:graphicFrameLocks noChangeAspect="1"/>
            </wp:cNvGraphicFramePr>
            <a:graphic>
              <a:graphicData uri="http://schemas.openxmlformats.org/drawingml/2006/picture">
                <pic:pic>
                  <pic:nvPicPr>
                    <pic:cNvPr id="0" name="A 39376-2019 karta.png"/>
                    <pic:cNvPicPr/>
                  </pic:nvPicPr>
                  <pic:blipFill>
                    <a:blip r:embed="rId16"/>
                    <a:stretch>
                      <a:fillRect/>
                    </a:stretch>
                  </pic:blipFill>
                  <pic:spPr>
                    <a:xfrm>
                      <a:off x="0" y="0"/>
                      <a:ext cx="5486400" cy="3611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7173107, E 629267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 xml:space="preserve">Kornig nållav </w:t>
      </w:r>
      <w:r>
        <w:t>förekommer i skuggiga miljöer med hög luftfuktighet och påträffas främst i gamla skogar eller på gamla träd. Den signalerar höga naturvärden och på lokalerna finns ofta flera ovanliga och rödlistade arter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pPr>
        <w:pStyle w:val="Heading1"/>
      </w:pPr>
      <w:r>
        <w:t>Fridlysta arter</w:t>
      </w:r>
    </w:p>
    <w:p>
      <w:r>
        <w:t>Följande fridlysta arter har sina livsmiljöer och växtplatser i den avverkningsanmälda skogen: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