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28699-2022 i Lycksele kommun</w:t>
      </w:r>
    </w:p>
    <w:p>
      <w:r>
        <w:t>Detta dokument behandlar höga naturvärden i avverkningsanmälan A 28699-2022 i Lycksele kommun. Denna avverkningsanmälan inkom 2022-07-06 och omfattar 7,3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13 naturvårdsarter hittats: gammelgransskål (NT), garnlav (NT), järpe (NT, §4), spillkråka (NT, §4), talltita (NT, §4), vitgrynig nållav (NT), luddlav (S), norrlandslav (S), plattlummer (S, §9), spindelblomster (S, §8), stuplav (S), tibast (S) och revlummer (§9). Av dessa är 6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415396"/>
            <wp:docPr id="1" name="Picture 1"/>
            <wp:cNvGraphicFramePr>
              <a:graphicFrameLocks noChangeAspect="1"/>
            </wp:cNvGraphicFramePr>
            <a:graphic>
              <a:graphicData uri="http://schemas.openxmlformats.org/drawingml/2006/picture">
                <pic:pic>
                  <pic:nvPicPr>
                    <pic:cNvPr id="0" name="A 28699-2022 karta.png"/>
                    <pic:cNvPicPr/>
                  </pic:nvPicPr>
                  <pic:blipFill>
                    <a:blip r:embed="rId16"/>
                    <a:stretch>
                      <a:fillRect/>
                    </a:stretch>
                  </pic:blipFill>
                  <pic:spPr>
                    <a:xfrm>
                      <a:off x="0" y="0"/>
                      <a:ext cx="5486400" cy="341539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7165688, E 650366 i SWEREF 99 TM.</w:t>
      </w:r>
    </w:p>
    <w:p>
      <w:pPr>
        <w:pStyle w:val="Heading1"/>
      </w:pPr>
      <w:r>
        <w:t>Fridlysta arter</w:t>
      </w:r>
    </w:p>
    <w:p>
      <w:r>
        <w:t>Följande fridlysta arter har sina livsmiljöer och växtplatser i den avverkningsanmälda skogen: järpe (NT, §4), spillkråka (NT, §4), talltita (NT, §4), plattlummer (S, §9), spindelblomster (S, §8) och revlummer (§9).</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Järpe (NT, §4)</w:t>
      </w:r>
      <w:r>
        <w:t xml:space="preserve">, rödlistad som nära hotad och prioriterad art i Skogsvårdslagen har häckningsrevir i avverkningsanmälan. Arten har minskat med 25 (10–40) % under de senaste 12 åren och är mycket stationär inom sitt revir som är minst 25 hektar stort. Dess livsmiljöer utgörs av tät barrskog med inblandning av lövträd och en väl utvecklad flerskiktad struktur med bärris och yngre eller undertryckta, täta granar i ett lägre skikt, ofta utmed bäckar och åar inne i den skyddande granskogen. Järpen överlever inte om dess livsmiljö kalavverkas och är även känslig för röjning, gallring och avverkning där unga granar och lövträd inte sparas i tillräcklig omfattning (SLU Artdatabanken, 2022). </w:t>
      </w:r>
    </w:p>
    <w:p>
      <w:r>
        <w:rPr>
          <w:b/>
        </w:rPr>
        <w:t>Spillkråka (NT, §4)</w:t>
      </w:r>
      <w:r>
        <w:t xml:space="preserve"> är rödlistad som nära hotad och ingår i bilaga 1 i EU:s fågeldirektiv. Den minskar i population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(SLU Artdatabanken, 2023).</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13 naturvårdsarter varav 6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Järpe – ekologi samt krav på livsmiljön</w:t>
      </w:r>
    </w:p>
    <w:p>
      <w:r>
        <w:t>Järpe är rödlistad som nära hotad (NT), fridlyst enligt 4§ Artskyddsförordningen och prioriterad art i Skogsvårdslagen. Järpen, som minskat med 25 (10–40) % under de senaste 12 åren, har sina livsmiljöer i tät barrskog med inblandning av lövträd och en väl utvecklad flerskiktad struktur med bärris och yngre eller undertryckta, täta granar i ett lägre skikt, ofta utmed bäckar och åar inne i den skyddande granskogen.</w:t>
      </w:r>
    </w:p>
    <w:p>
      <w:r>
        <w:t>Arten behöver lämpliga skogsbestånd om sammanlagt minst 25 hektar. Den är mycket stationär inom sitt revir och när ett par etablerat sig stannar de så länge miljön är intakt. Den undviker öppen mark och förﬂyttar sig sällan över större öppna myrar eller åkermark, och är därför känslig för fragmentering. Järpen överlever inte om dess livsmiljö kalavverkas och är även känslig för röjning, gallring och avverkning där unga granar och lövträd inte sparas i tillräcklig omfattning (SLU Artdatabanken, 2022).</w:t>
      </w:r>
    </w:p>
    <w:p>
      <w:pPr>
        <w:pStyle w:val="Heading2"/>
      </w:pPr>
      <w:r>
        <w:t>Referenser – järpe</w:t>
      </w:r>
    </w:p>
    <w:p>
      <w:r>
        <w:t xml:space="preserve">SLU Artdatabanken, 2022. </w:t>
      </w:r>
      <w:r>
        <w:rPr>
          <w:i/>
        </w:rPr>
        <w:t xml:space="preserve">Artfaktablad. Naturvård – artfakta. </w:t>
      </w:r>
      <w:r>
        <w:t>SLU Artdatabanken, Uppsala</w:t>
      </w:r>
    </w:p>
    <w:p>
      <w:pPr>
        <w:pStyle w:val="Heading1"/>
      </w:pPr>
      <w:r>
        <w:t>Spillkråka – ekologi samt krav på livsmiljön</w:t>
      </w:r>
    </w:p>
    <w:p>
      <w:r>
        <w:t>Spillkråka (NT) är rödlistad som nära hotad, fridlyst enligt §4 Artskyddsförordningen och ingår i bilaga 1 i EU:s fågeldirektiv. Spillkråka lever i både barr- och blandskog liksom i ren lövskog. De tätaste populationerna tenderar att finnas i äldre, variationsrik blandskog med gott om död ved och gamla träd.</w:t>
      </w:r>
    </w:p>
    <w:p>
      <w:r>
        <w:t>Varje par utnyttjar 400–1000 hektar skog beroende på skogens kvalitet. En minskning av populationen pågår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(Artdatabanken 2023).</w:t>
      </w:r>
    </w:p>
    <w:p>
      <w:pPr>
        <w:pStyle w:val="Heading2"/>
      </w:pPr>
      <w:r>
        <w:t>Referenser – spillkråka</w:t>
      </w:r>
    </w:p>
    <w:p>
      <w:r>
        <w:t xml:space="preserve">SLU Artdatabanken, 2021. </w:t>
      </w:r>
      <w:r>
        <w:rPr>
          <w:i/>
        </w:rPr>
        <w:t xml:space="preserve">Artfaktablad. Naturvård – artfakta. </w:t>
      </w:r>
      <w:r>
        <w:t>SLU Artdatabanken, Uppsala</w:t>
      </w:r>
    </w:p>
    <w:p>
      <w:pPr>
        <w:pStyle w:val="Heading1"/>
      </w:pPr>
      <w:r>
        <w:t>Talltita – ekologi samt krav på livsmiljön</w:t>
      </w:r>
    </w:p>
    <w:p>
      <w:r>
        <w:t xml:space="preserve">Talltita är rödlistad som NT, fridlyst och prioriterad art i Skogsvårdslagen. Den omfattas av EU:s fågeldirektiv. Arten har minskat kraftigt de senaste 30 åren och minskningstakten innevarande 10-årsperiod beräknas till 20 (10–30) % (SLU Artdatabanken, 2022). </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 xml:space="preserve">For. Ecol. Manage. 319, 169–175. </w:t>
      </w:r>
    </w:p>
    <w:p>
      <w:r>
        <w:t xml:space="preserve">Ekman, J., 1979. </w:t>
      </w:r>
      <w:r>
        <w:rPr>
          <w:i/>
        </w:rPr>
        <w:t xml:space="preserve">Coherence, composition and territories of winter social groups of the Willow Tit Parus montanus and the Crested Tit P. cristatus. </w:t>
      </w:r>
      <w:r>
        <w:t xml:space="preserve">Ornis Scandinavica, 10, pp 56–68 </w:t>
      </w:r>
    </w:p>
    <w:p>
      <w:r>
        <w:t xml:space="preserve">Griesser, M., Nystrand, M., Eggers, S., Ekman, J., 2007. </w:t>
      </w:r>
      <w:r>
        <w:rPr>
          <w:i/>
        </w:rPr>
        <w:t xml:space="preserve">Impact of forestry practices on fitness correlates and population productivity in an open-nesting bird species. </w:t>
      </w:r>
      <w:r>
        <w:t xml:space="preserve">Conserv. Biol. 21, 767–774. https://doi.org/10.1111/j.1523- 1739.2007.00675.x </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2024-12-16</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