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23098-2026 i Lycksele kommun</w:t>
      </w:r>
    </w:p>
    <w:p>
      <w:r>
        <w:t>Detta dokument behandlar höga naturvärden i avverkningsanmälan A 23098-2026 i Lycksele kommun som inkom 2026-05-19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T) och mörk kolflarnlav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99027" cy="5688000"/>
            <wp:docPr id="1" name="Picture 1"/>
            <wp:cNvGraphicFramePr>
              <a:graphicFrameLocks noChangeAspect="1"/>
            </wp:cNvGraphicFramePr>
            <a:graphic>
              <a:graphicData uri="http://schemas.openxmlformats.org/drawingml/2006/picture">
                <pic:pic>
                  <pic:nvPicPr>
                    <pic:cNvPr id="0" name="A 23098-2026 karta.png"/>
                    <pic:cNvPicPr/>
                  </pic:nvPicPr>
                  <pic:blipFill>
                    <a:blip r:embed="rId16"/>
                    <a:stretch>
                      <a:fillRect/>
                    </a:stretch>
                  </pic:blipFill>
                  <pic:spPr>
                    <a:xfrm>
                      <a:off x="0" y="0"/>
                      <a:ext cx="5299027"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7198861, E 662634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