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r>
        <w:rPr>
          <w:highlight w:val="yellow"/>
        </w:rPr>
        <w:t>OBS! Ta bort denna text och instruktionerna nedan innan dokumentet skickas in.</w:t>
      </w:r>
    </w:p>
    <w:p>
      <w:r>
        <w:rPr>
          <w:u w:val="single"/>
        </w:rPr>
        <w:t>Saker att tänka på innan du skickar in synpunkter, förfrågningar och klagomål gällande FSC regelverket:</w:t>
      </w:r>
    </w:p>
    <w:p>
      <w:pPr>
        <w:pStyle w:val="ListBullet"/>
      </w:pPr>
      <w:r>
        <w:rPr>
          <w:b/>
        </w:rPr>
        <w:t>Mycket viktig att beställa hem</w:t>
      </w:r>
      <w:r>
        <w:rPr>
          <w:b/>
          <w:vertAlign w:val="superscript"/>
        </w:rPr>
        <w:t>1</w:t>
      </w:r>
      <w:r>
        <w:rPr>
          <w:b/>
        </w:rPr>
        <w:t xml:space="preserve"> och granska avverkningsanmälan från Skogsstyrelsen innan du skickar iväg något.</w:t>
      </w:r>
    </w:p>
    <w:p>
      <w:pPr>
        <w:pStyle w:val="ListBullet"/>
      </w:pPr>
      <w:r>
        <w:rPr>
          <w:b/>
        </w:rPr>
        <w:t xml:space="preserve">Den svenska FSC standardens krav (exempelvis indikator 6.4.3) kan endast användas om markägaren är FSC certifierad. </w:t>
      </w:r>
      <w:r>
        <w:t>Du måste därför ta reda på om markägaren är FSC certifierad innan du skickar in ett sådant klagomål</w:t>
      </w:r>
      <w:r>
        <w:rPr>
          <w:vertAlign w:val="superscript"/>
        </w:rPr>
        <w:t>2</w:t>
      </w:r>
      <w:r>
        <w:t>.</w:t>
      </w:r>
    </w:p>
    <w:p>
      <w:pPr>
        <w:pStyle w:val="ListBullet"/>
      </w:pPr>
      <w:r>
        <w:rPr>
          <w:b/>
        </w:rPr>
        <w:t>För att skicka klagomål gällande bristfällig hänsyn till rödlistade arter (indikator 6.4.3) måste man först granska om det finns någon hänsyn planerad till arterna i avverkningsanmälan.</w:t>
      </w:r>
    </w:p>
    <w:p>
      <w:pPr>
        <w:pStyle w:val="ListBullet"/>
      </w:pPr>
      <w:r>
        <w:t xml:space="preserve">Om du inte har granskat om hänsyn planeras till arterna i avverkningsanmälan kan du möjligen skicka in dokumentet som en synpunkt eller förfrågan. </w:t>
      </w:r>
      <w:r>
        <w:rPr>
          <w:b/>
        </w:rPr>
        <w:t>Om du skickar in som förfrågan kan du till skillnad från en synpunkt förvänta dig ett svar.</w:t>
      </w:r>
    </w:p>
    <w:p>
      <w:pPr>
        <w:pStyle w:val="ListBullet"/>
      </w:pPr>
      <w:r>
        <w:t>Klagomål mot FSC skogsbruksstandarden ska i ett första skede framföras till certifikatsinnehavaren, tex ett skogsbolag. Många (främst mindre) skogsägare är medlemmar i gruppcertifikat</w:t>
      </w:r>
      <w:r>
        <w:rPr>
          <w:vertAlign w:val="superscript"/>
        </w:rPr>
        <w:t>3</w:t>
      </w:r>
      <w:r>
        <w:t xml:space="preserve"> och då ska klagomålet framföras till gruppcertifikatet.</w:t>
      </w:r>
    </w:p>
    <w:p>
      <w:pPr>
        <w:pStyle w:val="ListBullet"/>
      </w:pPr>
      <w:r>
        <w:t>Om ett ombud (tex Norra skog eller Mellanskog) avverkningsanmäler en skog med naturvärden motsvarande nyckelbiotops kvalitet men markägaren inte är FSC certifierad, bör du skicka in ett FSC kontrollerat virke klagomål. Då ska klagomålet skickas till ombudsföretaget.</w:t>
      </w:r>
    </w:p>
    <w:p>
      <w:pPr>
        <w:jc w:val="left"/>
      </w:pPr>
      <w:r>
        <w:rPr>
          <w:vertAlign w:val="superscript"/>
        </w:rPr>
        <w:t>1</w:t>
      </w:r>
      <w:r>
        <w:t xml:space="preserve"> Maila till skogsstyrelsen@skogsstyrelsen.se</w:t>
        <w:br/>
      </w:r>
      <w:r>
        <w:rPr>
          <w:vertAlign w:val="superscript"/>
        </w:rPr>
        <w:t>2</w:t>
      </w:r>
      <w:r>
        <w:t xml:space="preserve"> Hör av dig till FSC kansliet eller isak.lodin@wwf.se om du vill ha hjälp.</w:t>
        <w:br/>
      </w:r>
      <w:r>
        <w:rPr>
          <w:vertAlign w:val="superscript"/>
        </w:rPr>
        <w:t>3</w:t>
      </w:r>
      <w:r>
        <w:t xml:space="preserve"> https://se.fsc.org/se-sv/hitta/grupper-for-skogsbrukscertifiering</w:t>
      </w:r>
    </w:p>
    <w:p>
      <w:r>
        <w:rPr>
          <w:highlight w:val="yellow"/>
        </w:rPr>
        <w:t>OBS! Ta bort denna text och instruktionerna ovan innan dokumentet skickas in.</w:t>
        <w:br w:type="page"/>
      </w:r>
    </w:p>
    <w:p>
      <w:pPr>
        <w:pStyle w:val="Title"/>
      </w:pPr>
      <w:r>
        <w:t>Inledande FSC- /PEFC-klagomål – information om höga naturvärden i avverkningsanmälan A 49793-2025 i Lycksele kommun</w:t>
      </w:r>
    </w:p>
    <w:p>
      <w:r>
        <w:t>Detta dokument behandlar höga naturvärden i avverkningsanmälan A 49793-2025 i Lycksele kommun. Denna avverkningsanmälan inkom 2025-10-10 09:47:06 och omfattar 19,8 ha.</w:t>
      </w:r>
    </w:p>
    <w:p>
      <w:r>
        <w:t>Nedan presenteras fynd av naturvårdsarter som gjorts i det avverkningsanmälda området, samt relevanta utdrag ur standarderna för FSC, Chain of Custody, Controlled Wood och PEFC.</w:t>
      </w:r>
    </w:p>
    <w:p>
      <w:r>
        <w:t>Vi förväntar oss att ni återkommer med ett skriftligt svar på vårt klagomål och även beskriver vilka korrigerande åtgärder ni satt in för att rätta till identifierade brister i er efterlevnad av den svenska FSC standarden.</w:t>
      </w:r>
    </w:p>
    <w:p>
      <w:pPr>
        <w:pStyle w:val="Heading1"/>
      </w:pPr>
      <w:r>
        <w:t>Naturvårdsarter</w:t>
      </w:r>
    </w:p>
    <w:p>
      <w:r>
        <w:t>I avverkningsanmälan har följande 4 naturvårdsarter hittats: blå taggsvamp (NT), kolflarnlav (NT), mörk kolflarnlav (NT) och orange taggsvamp (NT). Av dessa är 4 rödlistade. För rödlistade arter har rödlistekategorin angivits inom parentes.</w:t>
      </w:r>
    </w:p>
    <w:p>
      <w:r>
        <w:t>De påträffade naturvårdsarterna är ett tydligt kvitto på att detta rör sig om en skog med höga naturvärden. I Figur 1 visas en karta över det avverkningsanmälda området, där samtliga fyndplatser för naturvårdsarter som finns registrerade på Artportalen har markerats.</w:t>
      </w:r>
    </w:p>
    <w:p>
      <w:pPr>
        <w:pStyle w:val="Caption"/>
      </w:pPr>
      <w:r>
        <w:drawing>
          <wp:inline xmlns:a="http://schemas.openxmlformats.org/drawingml/2006/main" xmlns:pic="http://schemas.openxmlformats.org/drawingml/2006/picture">
            <wp:extent cx="5486400" cy="3458442"/>
            <wp:docPr id="1" name="Picture 1"/>
            <wp:cNvGraphicFramePr>
              <a:graphicFrameLocks noChangeAspect="1"/>
            </wp:cNvGraphicFramePr>
            <a:graphic>
              <a:graphicData uri="http://schemas.openxmlformats.org/drawingml/2006/picture">
                <pic:pic>
                  <pic:nvPicPr>
                    <pic:cNvPr id="0" name="A 49793-2025 karta.png"/>
                    <pic:cNvPicPr/>
                  </pic:nvPicPr>
                  <pic:blipFill>
                    <a:blip r:embed="rId16"/>
                    <a:stretch>
                      <a:fillRect/>
                    </a:stretch>
                  </pic:blipFill>
                  <pic:spPr>
                    <a:xfrm>
                      <a:off x="0" y="0"/>
                      <a:ext cx="5486400" cy="3458442"/>
                    </a:xfrm>
                    <a:prstGeom prst="rect"/>
                  </pic:spPr>
                </pic:pic>
              </a:graphicData>
            </a:graphic>
          </wp:inline>
        </w:drawing>
      </w:r>
    </w:p>
    <w:p>
      <w:pPr>
        <w:pStyle w:val="Caption"/>
      </w:pPr>
      <w:r>
        <w:t>Figur 1. Fyndplatser för naturvårdsarter i det avverkningsanmälda området (röd linje). Markörer utan svart kant är placerade på fyndplatsen. Markörer med svart kant är placerade vid sidan av fyndplatsen och har ett svart streck som visar fyndplatsens exakta position. Kartans mittpunktskoordinat är N 7212810, E 657545 i SWEREF 99 TM.</w:t>
      </w:r>
    </w:p>
    <w:p>
      <w:r>
        <w:rPr>
          <w:b/>
        </w:rPr>
        <w:t xml:space="preserve">Blå taggsvamp (NT) </w:t>
      </w:r>
      <w:r>
        <w:t xml:space="preserve">är en karaktärsart i såväl örtrika kalkbarrskogar som i torra sandtallskogar där det föreligger gammal skog med långvarig trädkontinuitet. Är sällsynt och mycket kravfull i södra och mellersta Sverige. Den hotas främst av skogsavverkning och tycks försvinna efter slutavverkning, markberedning och plantering. I kalkgranskogar verkar arten vara mycket känslig. Granskogar med arten bör formellt skydddas. Blå taggsvamp (NT) är typisk art för </w:t>
      </w:r>
      <w:r>
        <w:rPr>
          <w:i/>
        </w:rPr>
        <w:t>9010 Taiga</w:t>
      </w:r>
      <w:r>
        <w:t xml:space="preserve"> (SLU Artdatabanken, 2024; Nitare &amp; Skogsstyrelsen, 2019).</w:t>
      </w:r>
    </w:p>
    <w:p>
      <w:r>
        <w:rPr>
          <w:b/>
        </w:rPr>
        <w:t>Kolflarnlav (NT)</w:t>
      </w:r>
      <w:r>
        <w:t xml:space="preserve"> är brandberoende och växer nästan uteslutande på kolad hård kärnved av tall. Etableringen verkar ske först 100–300 år efter brand och nytt substrat nybildas i mycket begränsad omfattning. Avverkning av tallskog av naturskogskaraktär med spår av återkommande bränder är ett hot och mängden lämplig ved att växa på för arten minskar dels på grund av naturlig nedbrytning men framförallt på grund av att det förstörs i samband med slutavverkningar, gallringar och markberedning. Såväl kolflarnlav som mörk kolflarnlav har glänsande bålfjäll och förekommer främst i tall- och blandbarrskogar av naturskogskaraktär med spår av återkommande bränder. Skogar som dessa hyser höga biologiska värden och bör skyddas. Kolflarnlav är typisk art för </w:t>
      </w:r>
      <w:r>
        <w:rPr>
          <w:i/>
        </w:rPr>
        <w:t>9010 Taiga</w:t>
      </w:r>
      <w:r>
        <w:t xml:space="preserve"> (SLU Artdatabanken, 2024).</w:t>
      </w:r>
    </w:p>
    <w:p>
      <w:r>
        <w:rPr>
          <w:b/>
        </w:rPr>
        <w:t>Mörk kolflarnlav (NT)</w:t>
      </w:r>
      <w:r>
        <w:t xml:space="preserve"> är brandberoende och växer nästan uteslutande på kolad hård kärnved av tall. Arten förekommer främst i glesa, öppna tall- och blandbarrskogar av naturskogskaraktär och etableringen verkar ske sent efter brand, kanske först efter 100–300 år. Mörk kolflarnlav indikerar skog med höga naturvärden och vanligast är att den påträffas på rester av nedbrunna torrakor och högstubbar och lågstubbar som är så grova att hela innandömet är urbränt. Tall- och blandbarrskogar av naturskogskaraktär med spår av återkommande bränder hyser höga biologiska värden och bör skyddas (SLU Artdatabanken, 2024).</w:t>
      </w:r>
    </w:p>
    <w:p>
      <w:r>
        <w:rPr>
          <w:b/>
        </w:rPr>
        <w:t xml:space="preserve">Orange taggsvamp (NT) </w:t>
      </w:r>
      <w:r>
        <w:t xml:space="preserve">bildar mykorrhiza med både gran och tall och den förekommer främst i äldre barrskogar med kontinuitetsskogskaraktär. Mest frekvent är den i äldre mossrik granskog, men då bara i skogar inom granens naturliga utbredningsområde och i bestånd med långvarig grankontinuitet. Den totala populationen i landet bedöms ha minskat kraftigt och fortsatt kommer att minska då arten är knuten till en produktiv skogsmiljö som successivt avverkas. Arten hotas främst av skogsavverkning och tycks försvinna efter slutavverkning, markberedning och plantering och det är inte känt att arten har återkommit i anlagd skog på tidigare kalmark. Orange taggsvamp är typisk art för </w:t>
      </w:r>
      <w:r>
        <w:rPr>
          <w:i/>
        </w:rPr>
        <w:t>9010 Taiga</w:t>
      </w:r>
      <w:r>
        <w:t xml:space="preserve"> (SLU Artdatabanken, 2024).</w:t>
      </w:r>
    </w:p>
    <w:p>
      <w:pPr>
        <w:pStyle w:val="Heading1"/>
      </w:pPr>
      <w:r>
        <w:t>Certifiering</w:t>
      </w:r>
    </w:p>
    <w:p>
      <w:pPr>
        <w:pStyle w:val="Heading2"/>
      </w:pPr>
      <w:r>
        <w:t>Ur FSC-standarden</w:t>
      </w:r>
    </w:p>
    <w:p>
      <w:r>
        <w:rPr>
          <w:b/>
        </w:rPr>
        <w:t xml:space="preserve">PRINCIP 1: LAGEFTERLEVNAD: </w:t>
      </w:r>
      <w:r>
        <w:t>Certifikatsinnehavaren ska följa alla tillämpliga lagar, förordningar och nationellt ratificerade internationella avtal, konventioner och överenskommelser.</w:t>
      </w:r>
    </w:p>
    <w:p>
      <w:r>
        <w:rPr>
          <w:b/>
        </w:rPr>
        <w:t xml:space="preserve">1.3.1 </w:t>
      </w:r>
      <w:r>
        <w:t>Tillämpliga lagar och föreskrifter för brukandet av skogen följs.</w:t>
      </w:r>
    </w:p>
    <w:p>
      <w:pPr>
        <w:pStyle w:val="ListBullet"/>
      </w:pPr>
      <w:r>
        <w:rPr>
          <w:b/>
          <w:i/>
        </w:rPr>
        <w:t xml:space="preserve">Kommentar: </w:t>
      </w:r>
      <w:r>
        <w:t>I den avverkningsanmälda skogen har fridlysta arter sina livsmiljöer och växtplatser. Att skada de fridlysta arternas livsmiljöer, växtplatser eller ekologiska funktion är inte tillåtet enligt artskyddsförordningen.</w:t>
      </w:r>
    </w:p>
    <w:p>
      <w:r>
        <w:rPr>
          <w:b/>
        </w:rPr>
        <w:t xml:space="preserve">6.4 </w:t>
      </w:r>
      <w:r>
        <w:t>Certifikatsinnehavaren ska skydda sällsynta arter och hotade arter samt deras livsmiljöer inom skogsbruksenheten. Det ska ske genom avsättningar, andra skyddade områden och genom att skapa konnektivitet och/eller genom andra direkta åtgärder som gynnar dessa arters överlevnad och livskraft. Åtgärderna ska stå i förhållande till brukandets skala, intensitet och risk, samt till sällsynta och hotade arters bevarandestatus och ekologiska krav. Certifikatsinnehavaren ska beakta den geografiska spridningen och ekologiska krav hos sällsynta och hotade arter utanför skogsbruksenhetens gränser när beslut om åtgärder inom skogsbruksenheten ska fattas.</w:t>
      </w:r>
    </w:p>
    <w:p>
      <w:r>
        <w:rPr>
          <w:b/>
        </w:rPr>
        <w:t xml:space="preserve">6.4.3 </w:t>
      </w:r>
      <w:r>
        <w:t>Bevarandeåtgärder genomförs för de kända förekomster av rödlistade arter som påverkas av skogsbruk.</w:t>
      </w:r>
    </w:p>
    <w:p>
      <w:pPr>
        <w:pStyle w:val="ListBullet"/>
      </w:pPr>
      <w:r>
        <w:rPr>
          <w:b/>
          <w:i/>
        </w:rPr>
        <w:t xml:space="preserve">Kommentar: </w:t>
      </w:r>
      <w:r>
        <w:rPr>
          <w:i/>
        </w:rPr>
        <w:t>I det avverkningsanmälda skogsområdet har 4 naturvårdsarter varav 4 rödlistade arter sina livsmiljöer och växtplatser.</w:t>
      </w:r>
    </w:p>
    <w:p>
      <w:pPr>
        <w:pStyle w:val="Heading2"/>
      </w:pPr>
      <w:r>
        <w:t>Ur Chain of Custody Certification (FSC-STD-40-004 ver 3.0)</w:t>
      </w:r>
    </w:p>
    <w:p>
      <w:r>
        <w:rPr>
          <w:b/>
        </w:rPr>
        <w:t xml:space="preserve">1.3 </w:t>
      </w:r>
      <w:r>
        <w:t xml:space="preserve">The organization shall commit to the FSC values as defined in FSC-POL-01-004 Policy for the Association of Organizations with FSC. </w:t>
      </w:r>
    </w:p>
    <w:p>
      <w:pPr>
        <w:pStyle w:val="Heading2"/>
      </w:pPr>
      <w:r>
        <w:t>Ur FSC:s policy för associerade organisationer (FSC-POL-01-004)</w:t>
      </w:r>
    </w:p>
    <w:p>
      <w:r>
        <w:t xml:space="preserve">Som “Chain of Custody”-certifierad organisation är skogsbolaget bunden av de fastställda reglerna i Del 1 Punkt 1 c) i Policy för organisationer associerade med FSC (FSC-POL-01-004 V2-0 EN + SVE version 2012-03-02): </w:t>
      </w:r>
    </w:p>
    <w:p>
      <w:pPr>
        <w:pStyle w:val="ListNumber"/>
      </w:pPr>
      <w:r>
        <w:t>De organisationer FSC kan acceptera association med får inte direkt eller indirekt ha några kopplingar till nedanstående, oacceptabla aktiviteter:</w:t>
      </w:r>
    </w:p>
    <w:p>
      <w:pPr>
        <w:ind w:left="357"/>
      </w:pPr>
      <w:r>
        <w:t>a) Olaglig skogsavverkning och handel med olagligt avverkat virke eller skogsprodukter</w:t>
      </w:r>
    </w:p>
    <w:p>
      <w:pPr>
        <w:ind w:left="357"/>
      </w:pPr>
      <w:r>
        <w:t>...</w:t>
      </w:r>
    </w:p>
    <w:p>
      <w:pPr>
        <w:ind w:left="357"/>
      </w:pPr>
      <w:r>
        <w:t>c) Skogsbruk som förstör höga naturvärden</w:t>
      </w:r>
    </w:p>
    <w:p>
      <w:pPr>
        <w:ind w:left="357"/>
      </w:pPr>
      <w:r>
        <w:t>d) Betydande omvandling av skog till plantager eller annan, icke skoglig, markanvändning</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2"/>
      </w:pPr>
      <w:r>
        <w:t>Ur FSC Controlled Wood (FSC-STD-40-005)</w:t>
      </w:r>
    </w:p>
    <w:p>
      <w:r>
        <w:t>Virke som inte accepteras i FSC-märkta produkter (oacceptabelt ursprung) enligt FSC Controlled Wood (FSC-STD-40-005):</w:t>
      </w:r>
    </w:p>
    <w:p>
      <w:pPr>
        <w:pStyle w:val="ListNumber"/>
      </w:pPr>
      <w:r>
        <w:t>Illegalt avverkat virke.</w:t>
      </w:r>
    </w:p>
    <w:p>
      <w:pPr>
        <w:pStyle w:val="ListNumber"/>
      </w:pPr>
      <w:r>
        <w:t>...</w:t>
      </w:r>
    </w:p>
    <w:p>
      <w:pPr>
        <w:pStyle w:val="ListNumber"/>
      </w:pPr>
      <w:r>
        <w:t>Virke från avverkningar som hotar höga naturvärden.</w:t>
      </w:r>
    </w:p>
    <w:p>
      <w:pPr>
        <w:pStyle w:val="ListNumber"/>
      </w:pPr>
      <w:r>
        <w:t>Virke från skog som konverteras till plantager eller icke-skogligt bruk.</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1"/>
      </w:pPr>
      <w:r>
        <w:t>Ur PEFC-standarden gällande lagefterlevnad</w:t>
      </w:r>
    </w:p>
    <w:p>
      <w:r>
        <w:t>PEFC-standarden förutsätter att tillämplig svensk lagstiftning följs. Det är utsedd tillsynsmyndighet som ansvarar för tillsyn av lagens efterlevnad. PEFC-standarden återger innehållet i vissa certifieringskritiska lag- och föreskriftskrav vilka ska ingå i granskning av PEFC-systemets efterlevnad.</w:t>
      </w:r>
    </w:p>
    <w:p>
      <w:pPr>
        <w:pStyle w:val="ListBullet"/>
      </w:pPr>
      <w:r>
        <w:rPr>
          <w:b/>
          <w:i/>
        </w:rPr>
        <w:t xml:space="preserve">Kommentar: </w:t>
      </w:r>
      <w:r>
        <w:rPr>
          <w:i/>
        </w:rPr>
        <w:t>I den avverkningsanmälda skogen har fridlysta arter sina livsmiljöer och växtplatser. Att skada de fridlysta arternas livsmiljöer, växtplatser eller ekologiska funktion är inte tillåtet enligt artskyddsförordningen</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5B5939D6" w14:textId="77777777" w:rsidR="006E6E89" w:rsidRDefault="006E6E89" w:rsidP="000942A1">
      <w:pPr>
        <w:spacing w:after="0" w:line="240" w:lineRule="auto"/>
      </w:pPr>
      <w:r>
        <w:separator/>
      </w:r>
    </w:p>
  </w:endnote>
  <w:endnote w:type="continuationSeparator" w:id="0">
    <w:p w14:paraId="4484C549" w14:textId="77777777" w:rsidR="006E6E89" w:rsidRDefault="006E6E89"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0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599FCE2B" w14:textId="77777777" w:rsidR="006E6E89" w:rsidRDefault="006E6E89" w:rsidP="000942A1">
      <w:pPr>
        <w:spacing w:after="0" w:line="240" w:lineRule="auto"/>
      </w:pPr>
      <w:r>
        <w:separator/>
      </w:r>
    </w:p>
  </w:footnote>
  <w:footnote w:type="continuationSeparator" w:id="0">
    <w:p w14:paraId="5BF964B5" w14:textId="77777777" w:rsidR="006E6E89" w:rsidRDefault="006E6E89"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42F7434" w14:textId="77777777" w:rsidR="000942A1" w:rsidRDefault="000942A1">
    <w:pPr>
      <w:pStyle w:val="Header"/>
      <w:jc w:val="left"/>
    </w:pPr>
    <w:r>
      <w:tab/>
      <w:tab/>
      <w:t>2026-04-04</w:t>
      <w:br/>
      <w:br/>
    </w:r>
    <w:r>
      <w:t>Till: Sveaskog</w:t>
      <w:br/>
    </w:r>
    <w:r>
      <w:t>Kopia: Revisor xx och FSC</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29639D"/>
    <w:rsid w:val="00326F90"/>
    <w:rsid w:val="006E156C"/>
    <w:rsid w:val="006E6E89"/>
    <w:rsid w:val="007106C8"/>
    <w:rsid w:val="00804023"/>
    <w:rsid w:val="00AA10D1"/>
    <w:rsid w:val="00AA1D8D"/>
    <w:rsid w:val="00B47730"/>
    <w:rsid w:val="00CB0664"/>
    <w:rsid w:val="00CF3394"/>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7106C8"/>
    <w:pPr>
      <w:spacing w:after="300" w:line="240" w:lineRule="auto"/>
      <w:contextualSpacing/>
      <w:jc w:val="center"/>
    </w:pPr>
    <w:rPr>
      <w:rFonts w:eastAsiaTheme="majorEastAsia" w:cstheme="majorBidi"/>
      <w:spacing w:val="5"/>
      <w:kern w:val="28"/>
      <w:sz w:val="52"/>
      <w:szCs w:val="52"/>
      <w:lang w:val="sv-SE" w:eastAsia="en-US" w:bidi="ar-SA"/>
    </w:rPr>
  </w:style>
  <w:style w:type="character" w:customStyle="1" w:styleId="TitleChar">
    <w:name w:val="Title Char"/>
    <w:basedOn w:val="DefaultParagraphFont"/>
    <w:link w:val="Title"/>
    <w:uiPriority w:val="10"/>
    <w:rsid w:val="007106C8"/>
    <w:rPr>
      <w:rFonts w:ascii="Times New Roman" w:eastAsiaTheme="majorEastAsia" w:hAnsi="Times New Roman" w:cstheme="majorBidi"/>
      <w:spacing w:val="5"/>
      <w:kern w:val="28"/>
      <w:sz w:val="52"/>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9</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6</cp:revision>
  <dcterms:created xsi:type="dcterms:W3CDTF">2023-02-11T00:19:00Z</dcterms:created>
  <dcterms:modified xsi:type="dcterms:W3CDTF">2023-03-30T20:23:00Z</dcterms:modified>
  <cp:category/>
</cp:coreProperties>
</file>