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57357-2024 i Lycksele kommun</w:t>
      </w:r>
    </w:p>
    <w:p>
      <w:r>
        <w:t>Detta klagomål behandlar höga naturvärden i avverkningsanmälan A 57357-2024 i Lycksele kommun som inkom 2024-12-03 och omfattar 9,7 ha.</w:t>
      </w:r>
    </w:p>
    <w:p>
      <w:pPr>
        <w:pStyle w:val="Caption"/>
      </w:pPr>
      <w:r>
        <w:drawing>
          <wp:inline xmlns:a="http://schemas.openxmlformats.org/drawingml/2006/main" xmlns:pic="http://schemas.openxmlformats.org/drawingml/2006/picture">
            <wp:extent cx="5486400" cy="5365737"/>
            <wp:docPr id="1" name="Picture 1"/>
            <wp:cNvGraphicFramePr>
              <a:graphicFrameLocks noChangeAspect="1"/>
            </wp:cNvGraphicFramePr>
            <a:graphic>
              <a:graphicData uri="http://schemas.openxmlformats.org/drawingml/2006/picture">
                <pic:pic>
                  <pic:nvPicPr>
                    <pic:cNvPr id="0" name="A 57357-2024 karta.png"/>
                    <pic:cNvPicPr/>
                  </pic:nvPicPr>
                  <pic:blipFill>
                    <a:blip r:embed="rId16"/>
                    <a:stretch>
                      <a:fillRect/>
                    </a:stretch>
                  </pic:blipFill>
                  <pic:spPr>
                    <a:xfrm>
                      <a:off x="0" y="0"/>
                      <a:ext cx="5486400" cy="53657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7124830, E 671052 i SWEREF 99 TM.</w:t>
      </w:r>
    </w:p>
    <w:p>
      <w:r>
        <w:t>I avverkningsanmälan finns fynd av 3 naturvårdsarter, varav 3 är rödlistade och 3 är typiska (T): garnlav (VU, T), doftskinn (NT, T) och gammelgransskål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