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61910-2024 i Lycksele kommun</w:t>
      </w:r>
    </w:p>
    <w:p>
      <w:r>
        <w:t>Detta dokument behandlar höga naturvärden i avverkningsanmälan A 61910-2024 i Lycksele kommun. Denna avverkningsanmälan inkom 2024-12-27 08:41:42 och omfattar 5,8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norna (VU, §7).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6408"/>
            <wp:docPr id="1" name="Picture 1"/>
            <wp:cNvGraphicFramePr>
              <a:graphicFrameLocks noChangeAspect="1"/>
            </wp:cNvGraphicFramePr>
            <a:graphic>
              <a:graphicData uri="http://schemas.openxmlformats.org/drawingml/2006/picture">
                <pic:pic>
                  <pic:nvPicPr>
                    <pic:cNvPr id="0" name="A 61910-2024 karta.png"/>
                    <pic:cNvPicPr/>
                  </pic:nvPicPr>
                  <pic:blipFill>
                    <a:blip r:embed="rId16"/>
                    <a:stretch>
                      <a:fillRect/>
                    </a:stretch>
                  </pic:blipFill>
                  <pic:spPr>
                    <a:xfrm>
                      <a:off x="0" y="0"/>
                      <a:ext cx="5486400" cy="4196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7146392, E 675053 i SWEREF 99 TM.</w:t>
      </w:r>
    </w:p>
    <w:p>
      <w:pPr>
        <w:pStyle w:val="Heading1"/>
      </w:pPr>
      <w:r>
        <w:t>Fridlysta arter</w:t>
      </w:r>
    </w:p>
    <w:p>
      <w:r>
        <w:t>Följande fridlysta arter har sina livsmiljöer och växtplatser i den avverkningsanmälda skogen: norna (VU, §7).</w:t>
      </w:r>
    </w:p>
    <w:p>
      <w:r>
        <w:rPr>
          <w:b/>
        </w:rPr>
        <w:t xml:space="preserve">Norna (VU, §7) </w:t>
      </w:r>
      <w:r>
        <w:t>är strikt skyddad enligt EU:s art- och habitatdirektiv och fridlyst enligt §7 Artskyddsförordningen (bilaga 1) vilket innebär att hela dess livsmiljö ska bevaras. Den är rödlistad som nära hotad (NT) i den europeiska rödlistan och växer i frisk–fuktig, mossrik barrskog, oftast i små sänkor i granskog med hög bonitet. Växtplatsen utgörs nästan alltid av sluttningar med rikligt och rörligt markvatten. Underlaget är genomgående grönsten eller kalkrikt material. Nornan är känslig för alla större ingrepp i sin miljö och överlever därför vanligtvis inte slutavverkning. Den klarar inte den uttorkning av markens ytskikt som slutavverkning normalt medför och inte heller kvarlämnande av större mängd hyggesavfall. Populationen har minskat kraftigare än vad som tidigare varit känt och arten hamnade därför i en högre rödlistekategori 2020 (SLU Artdatabanken, 2024; IUCN,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