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37406-2025 i Lycksele kommun</w:t>
      </w:r>
    </w:p>
    <w:p>
      <w:r>
        <w:t>Detta dokument behandlar höga naturvärden i avverkningsanmälan A 37406-2025 i Lycksele kommun. Denna avverkningsanmälan inkom 2025-08-08 11:04:21 och omfattar 25,4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knärot (VU, §8), garnlav (NT), granticka (NT), harticka (NT), lunglav (NT), skrovellav (NT), talltita (NT, §4), violmussling (NT), bårdlav (S), luddlav (S), stuplav (S), fläcknycklar (§8)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3653"/>
            <wp:docPr id="1" name="Picture 1"/>
            <wp:cNvGraphicFramePr>
              <a:graphicFrameLocks noChangeAspect="1"/>
            </wp:cNvGraphicFramePr>
            <a:graphic>
              <a:graphicData uri="http://schemas.openxmlformats.org/drawingml/2006/picture">
                <pic:pic>
                  <pic:nvPicPr>
                    <pic:cNvPr id="0" name="A 37406-2025 karta.png"/>
                    <pic:cNvPicPr/>
                  </pic:nvPicPr>
                  <pic:blipFill>
                    <a:blip r:embed="rId16"/>
                    <a:stretch>
                      <a:fillRect/>
                    </a:stretch>
                  </pic:blipFill>
                  <pic:spPr>
                    <a:xfrm>
                      <a:off x="0" y="0"/>
                      <a:ext cx="5486400" cy="383365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7170646, E 651122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Violmussling (NT)</w:t>
      </w:r>
      <w:r>
        <w:t xml:space="preserve"> växer på döda, oftast omkullfallna stammar av gran eller tall. De flesta fynden har gjorts i gammal, orörd skog och arten är en mycket god indikator på förekomst av lång skoglig kontinuitet. Platser som hyser stora bestånd av violmussling bör i första hand skyddas och undantas från skogsbruk. Flera sällsynta och mycket sällsynta tickor och skalbaggar är mer eller mindre starkt associerade med violtickor </w:t>
      </w:r>
      <w:r>
        <w:rPr>
          <w:i/>
        </w:rPr>
        <w:t>Trichaptum spp.</w:t>
      </w:r>
      <w:r>
        <w:t xml:space="preserve"> och död ved som först rötats av någon </w:t>
      </w:r>
      <w:r>
        <w:rPr>
          <w:i/>
        </w:rPr>
        <w:t>Trichaptum-art</w:t>
      </w:r>
      <w:r>
        <w:t>. Bland dessa kan nämnas brunkantad brunbagge</w:t>
      </w:r>
      <w:r>
        <w:rPr>
          <w:i/>
        </w:rPr>
        <w:t xml:space="preserve"> </w:t>
      </w:r>
      <w:r>
        <w:t>(RE), gul mjukporing (CR), lämmelporing (EN), parasitporing (VU), gropig brunbagge (NT), gulbandad brunbagge</w:t>
      </w:r>
      <w:r>
        <w:rPr>
          <w:i/>
        </w:rPr>
        <w:t xml:space="preserve"> </w:t>
      </w:r>
      <w:r>
        <w:t>(NT) och kilporing (NT) (SLU Artdatabanken, 2024; Nitare &amp; Skogsstyrelsen, 2019).</w:t>
      </w:r>
    </w:p>
    <w:p>
      <w:pPr>
        <w:pStyle w:val="Heading1"/>
      </w:pPr>
      <w:r>
        <w:t>Fridlysta arter</w:t>
      </w:r>
    </w:p>
    <w:p>
      <w:r>
        <w:t>Följande fridlysta arter har sina livsmiljöer och växtplatser i den avverkningsanmälda skogen: knärot (VU, §8), talltita (NT,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7 fyndplatser för knärot registrerade på Artportalen. Figur 2 visar gränserna för buffertzoner på 50 m, som behöver lämnas kring fyndplatserna för att knärotslokalerna inte ska försvinna vid en avverkning. Av det avverkningsanmälda området överlappar 3.24 ha med buffertzonerna och får av detta skäl inte avverkas.</w:t>
      </w:r>
    </w:p>
    <w:p>
      <w:pPr>
        <w:pStyle w:val="Caption"/>
      </w:pPr>
      <w:r>
        <w:drawing>
          <wp:inline xmlns:a="http://schemas.openxmlformats.org/drawingml/2006/main" xmlns:pic="http://schemas.openxmlformats.org/drawingml/2006/picture">
            <wp:extent cx="5486400" cy="4418105"/>
            <wp:docPr id="2" name="Picture 2"/>
            <wp:cNvGraphicFramePr>
              <a:graphicFrameLocks noChangeAspect="1"/>
            </wp:cNvGraphicFramePr>
            <a:graphic>
              <a:graphicData uri="http://schemas.openxmlformats.org/drawingml/2006/picture">
                <pic:pic>
                  <pic:nvPicPr>
                    <pic:cNvPr id="0" name="A 37406-2025 karta knärot.png"/>
                    <pic:cNvPicPr/>
                  </pic:nvPicPr>
                  <pic:blipFill>
                    <a:blip r:embed="rId17"/>
                    <a:stretch>
                      <a:fillRect/>
                    </a:stretch>
                  </pic:blipFill>
                  <pic:spPr>
                    <a:xfrm>
                      <a:off x="0" y="0"/>
                      <a:ext cx="5486400" cy="441810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7170646, E 651122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