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30159-2024 i Lycksele kommun</w:t>
      </w:r>
    </w:p>
    <w:p>
      <w:r>
        <w:t>Detta klagomål behandlar höga naturvärden i avverkningsanmälan A 30159-2024 i Lycksele kommun som inkom 2024-07-15 och omfattar 14,7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30159-2024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7185623, E 665793 i SWEREF 99 TM.</w:t>
      </w:r>
    </w:p>
    <w:p>
      <w:r>
        <w:t>I och inom 23 meter från avverkningsanmälan finns fynd av 20 naturvårdsarter, varav 19 är rödlistade, 8 är typiska (T) och 1 är signalart (S): goliatmusseron (VU, T), jättemusseron (VU), skrovlig taggsvamp (VU), smalfotad taggsvamp (VU), tallgråticka (VU), torrmusseron (VU), blå taggsvamp (NT, T), blågrå svartspik (NT), dropptaggsvamp (NT, T), dvärgbägarlav (NT, T), kolflarnlav (NT, T), mörk kolflarnlav (NT), orange taggsvamp (NT, T), skarp dropptaggsvamp (NT), svartvit taggsvamp (NT), tallriska (NT), talltaggsvamp (NT), vaddporing (NT), vedskivlav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