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44754-2026 i Lycksele kommun</w:t>
      </w:r>
    </w:p>
    <w:p>
      <w:r>
        <w:t>Detta klagomål behandlar höga naturvärden i avverkningsanmälan A 44754-2026 i Lycksele kommun som inkom 2026-10-27 och omfattar 11,0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44754-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7163221, E 649195 i SWEREF 99 TM.</w:t>
      </w:r>
    </w:p>
    <w:p>
      <w:r>
        <w:t>I avverkningsanmälan finns fynd av 11 naturvårdsarter, varav 5 är rödlistade, 6 är fridlysta, 6 är typiska (T) och 2 är signalarter (S): garnlav (VU, T), dvärgbägarlav (NT, T), gammelgransskål (NT, T), talltita (NT, §4), tretåig hackspett (NT, T, §4), luddlav (S, T), stuplav (S, T), vanlig groda (§6),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