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2639-2026 i Lycksele kommun</w:t>
      </w:r>
    </w:p>
    <w:p>
      <w:r>
        <w:t>Denna tillsynsbegäran behandlar höga naturvärden i samrådsanmälan S 2639-2026 i Lycksele kommun som inkom 2026-10-09 och omfattar 17,8 ha.</w:t>
      </w:r>
    </w:p>
    <w:p>
      <w:pPr>
        <w:pStyle w:val="Caption"/>
      </w:pPr>
      <w:r>
        <w:drawing>
          <wp:inline xmlns:a="http://schemas.openxmlformats.org/drawingml/2006/main" xmlns:pic="http://schemas.openxmlformats.org/drawingml/2006/picture">
            <wp:extent cx="5486400" cy="5024487"/>
            <wp:docPr id="1" name="Picture 1"/>
            <wp:cNvGraphicFramePr>
              <a:graphicFrameLocks noChangeAspect="1"/>
            </wp:cNvGraphicFramePr>
            <a:graphic>
              <a:graphicData uri="http://schemas.openxmlformats.org/drawingml/2006/picture">
                <pic:pic>
                  <pic:nvPicPr>
                    <pic:cNvPr id="0" name="S 2639-2026 karta.png"/>
                    <pic:cNvPicPr/>
                  </pic:nvPicPr>
                  <pic:blipFill>
                    <a:blip r:embed="rId16"/>
                    <a:stretch>
                      <a:fillRect/>
                    </a:stretch>
                  </pic:blipFill>
                  <pic:spPr>
                    <a:xfrm>
                      <a:off x="0" y="0"/>
                      <a:ext cx="5486400" cy="502448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7205264, E 685265 i SWEREF 99 TM.</w:t>
      </w:r>
    </w:p>
    <w:p>
      <w:r>
        <w:t>I samrådsanmälan finns fynd av 4 naturvårdsarter, varav 4 är rödlistade och 2 är typiska (T): blå taggsvamp (NT, T), mörk kolflarnlav (NT), orange taggsvamp (NT, T)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