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24811-2024 i Lycksele kommun</w:t>
      </w:r>
    </w:p>
    <w:p>
      <w:r>
        <w:t>Detta klagomål behandlar höga naturvärden i avverkningsanmälan A 24811-2024 i Lycksele kommun som inkom 2024-06-17 och omfattar 3,8 ha.</w:t>
      </w:r>
    </w:p>
    <w:p>
      <w:pPr>
        <w:pStyle w:val="Caption"/>
      </w:pPr>
      <w:r>
        <w:drawing>
          <wp:inline xmlns:a="http://schemas.openxmlformats.org/drawingml/2006/main" xmlns:pic="http://schemas.openxmlformats.org/drawingml/2006/picture">
            <wp:extent cx="5486400" cy="4805784"/>
            <wp:docPr id="1" name="Picture 1"/>
            <wp:cNvGraphicFramePr>
              <a:graphicFrameLocks noChangeAspect="1"/>
            </wp:cNvGraphicFramePr>
            <a:graphic>
              <a:graphicData uri="http://schemas.openxmlformats.org/drawingml/2006/picture">
                <pic:pic>
                  <pic:nvPicPr>
                    <pic:cNvPr id="0" name="A 24811-2024 karta.png"/>
                    <pic:cNvPicPr/>
                  </pic:nvPicPr>
                  <pic:blipFill>
                    <a:blip r:embed="rId16"/>
                    <a:stretch>
                      <a:fillRect/>
                    </a:stretch>
                  </pic:blipFill>
                  <pic:spPr>
                    <a:xfrm>
                      <a:off x="0" y="0"/>
                      <a:ext cx="5486400" cy="480578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7189249, E 661591 i SWEREF 99 TM.</w:t>
      </w:r>
    </w:p>
    <w:p>
      <w:r>
        <w:t>I och inom 22 meter från avverkningsanmälan finns fynd av 13 naturvårdsarter, varav 12 är rödlistade, 5 är typiska (T) och 1 är signalart (S): fläckporing (VU, T), skrovlig taggsvamp (VU), smalfotad taggsvamp (VU), tajgataggsvamp (VU), torrmusseron (VU), blanksvart spiklav (NT), blå taggsvamp (NT, T), dropptaggsvamp (NT, T), kolflarnlav (NT, T), nordlig nållav (NT), orange taggsvamp (NT, T), svartvit taggsvamp (NT) och mörkhövdad spiklav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