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53809-2023 i Lycksele kommun</w:t>
      </w:r>
    </w:p>
    <w:p>
      <w:r>
        <w:t>Detta dokument behandlar höga naturvärden i avverkningsanmälan A 53809-2023 i Lycksele kommun. Denna avverkningsanmälan inkom 2023-11-01 och omfattar 25,1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2 naturvårdsarter hittats: skrovlig taggsvamp (NT) och stuplav (S). Av dessa är 1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232819"/>
            <wp:docPr id="1" name="Picture 1"/>
            <wp:cNvGraphicFramePr>
              <a:graphicFrameLocks noChangeAspect="1"/>
            </wp:cNvGraphicFramePr>
            <a:graphic>
              <a:graphicData uri="http://schemas.openxmlformats.org/drawingml/2006/picture">
                <pic:pic>
                  <pic:nvPicPr>
                    <pic:cNvPr id="0" name="A 53809-2023 karta.png"/>
                    <pic:cNvPicPr/>
                  </pic:nvPicPr>
                  <pic:blipFill>
                    <a:blip r:embed="rId16"/>
                    <a:stretch>
                      <a:fillRect/>
                    </a:stretch>
                  </pic:blipFill>
                  <pic:spPr>
                    <a:xfrm>
                      <a:off x="0" y="0"/>
                      <a:ext cx="5486400" cy="423281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7211025, E 650352 i SWEREF 99 TM.</w:t>
      </w:r>
    </w:p>
    <w:p>
      <w:r>
        <w:rPr>
          <w:b/>
        </w:rPr>
        <w:t xml:space="preserve">Skrovlig taggsvamp (NT) </w:t>
      </w:r>
      <w:r>
        <w:t>bildar mykorrhiza med tall i äldre tallskog, framför allt på tallhed. Den växer huvudsakligen i äldre barrskog som hotas av slutavverkning. Genom att äldre barrskogar och naturskogar blir allt sällsyntare, missgynnas arten av skogsbruk. Arten ingår i ett åtgärdsprogram för hotade arter (ÅGP) och en långsiktig tillgång till svampens värdträd behöver säkras genom att växtplatserna undantas från avverkning. Skrovlig taggsvamp är globalt rödlistad som nära hotad (NT) vilket innebär att Sverige har ett internationellt ansvar för arten (IUCN, 2025; SLU Artdatabanken, 2024; Nitare, 2006).</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(SLU Artdatabanken, 2024;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2025-06-15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