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23759-2023 i Skellefteå kommun</w:t>
      </w:r>
    </w:p>
    <w:p>
      <w:r>
        <w:t>Denna tillsynsbegäran behandlar höga naturvärden i avverkningsanmälan A 23759-2023 i Skellefteå kommun som inkom 2023-05-31 och omfattar 2,3 ha.</w:t>
      </w:r>
    </w:p>
    <w:p>
      <w:pPr>
        <w:pStyle w:val="Caption"/>
      </w:pPr>
      <w:r>
        <w:drawing>
          <wp:inline xmlns:a="http://schemas.openxmlformats.org/drawingml/2006/main" xmlns:pic="http://schemas.openxmlformats.org/drawingml/2006/picture">
            <wp:extent cx="5486400" cy="5244883"/>
            <wp:docPr id="1" name="Picture 1"/>
            <wp:cNvGraphicFramePr>
              <a:graphicFrameLocks noChangeAspect="1"/>
            </wp:cNvGraphicFramePr>
            <a:graphic>
              <a:graphicData uri="http://schemas.openxmlformats.org/drawingml/2006/picture">
                <pic:pic>
                  <pic:nvPicPr>
                    <pic:cNvPr id="0" name="A 23759-2023 karta.png"/>
                    <pic:cNvPicPr/>
                  </pic:nvPicPr>
                  <pic:blipFill>
                    <a:blip r:embed="rId16"/>
                    <a:stretch>
                      <a:fillRect/>
                    </a:stretch>
                  </pic:blipFill>
                  <pic:spPr>
                    <a:xfrm>
                      <a:off x="0" y="0"/>
                      <a:ext cx="5486400" cy="5244883"/>
                    </a:xfrm>
                    <a:prstGeom prst="rect"/>
                  </pic:spPr>
                </pic:pic>
              </a:graphicData>
            </a:graphic>
          </wp:inline>
        </w:drawing>
      </w:r>
    </w:p>
    <w:p>
      <w:pPr>
        <w:pStyle w:val="Caption"/>
        <w:spacing w:after="240"/>
      </w:pPr>
      <w:r>
        <w:t>Figur 1. Fyndplatser för naturvårdsarter inom 25 meter från avverkningsanmälan. Markörer utan svart kant är placerade på fyndplatsen. Markörer med svart kant är placerade vid sidan av fyndplatsen har ett svart streck som visar fyndplatsens exakta position. Kartans mittpunktskoordinat är N 7155709, E 808519 i SWEREF 99 TM.</w:t>
      </w:r>
    </w:p>
    <w:p>
      <w:r>
        <w:t>Inom 25 meter från avverkningsanmälan finns fynd av 1 naturvårdsarter, varav 1 är rödlistad och 1 är typisk (T): harticka (NT,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Harticka (NT)</w:t>
      </w:r>
      <w:r>
        <w:t xml:space="preserve"> är normalt en mycket bra signalart för granskogar med höga naturvärden. Även när svampen påträffas i mer påverkade skogar är det nästan alltid fråga om skogsmiljöer i sena successionsstadier med höga naturvärden. Skogsskötselåtgärder på eller i omedelbar närhet av växtplatserna kan innebära ett hot mot arten. Harticka är typisk art för </w:t>
      </w:r>
      <w:r>
        <w:rPr>
          <w:i/>
        </w:rPr>
        <w:t xml:space="preserve">9010 Taiga, 9050 Näringsrik granskog </w:t>
      </w:r>
      <w:r>
        <w:t xml:space="preserve">och </w:t>
      </w:r>
      <w:r>
        <w:rPr>
          <w:i/>
        </w:rPr>
        <w:t>9030 Landhöjningsskog</w:t>
      </w:r>
      <w:r>
        <w:t xml:space="preserve">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2026-07-19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