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35164-2025 i Skellefteå kommun</w:t>
      </w:r>
    </w:p>
    <w:p>
      <w:r>
        <w:t>Denna tillsynsbegäran behandlar höga naturvärden i avverkningsanmälan A 35164-2025 i Skellefteå kommun som inkom 2025-07-14 och omfattar 2,1 ha.</w:t>
      </w:r>
    </w:p>
    <w:p>
      <w:pPr>
        <w:pStyle w:val="Caption"/>
      </w:pPr>
      <w:r>
        <w:drawing>
          <wp:inline xmlns:a="http://schemas.openxmlformats.org/drawingml/2006/main" xmlns:pic="http://schemas.openxmlformats.org/drawingml/2006/picture">
            <wp:extent cx="5486400" cy="5527878"/>
            <wp:docPr id="1" name="Picture 1"/>
            <wp:cNvGraphicFramePr>
              <a:graphicFrameLocks noChangeAspect="1"/>
            </wp:cNvGraphicFramePr>
            <a:graphic>
              <a:graphicData uri="http://schemas.openxmlformats.org/drawingml/2006/picture">
                <pic:pic>
                  <pic:nvPicPr>
                    <pic:cNvPr id="0" name="A 35164-2025 karta.png"/>
                    <pic:cNvPicPr/>
                  </pic:nvPicPr>
                  <pic:blipFill>
                    <a:blip r:embed="rId16"/>
                    <a:stretch>
                      <a:fillRect/>
                    </a:stretch>
                  </pic:blipFill>
                  <pic:spPr>
                    <a:xfrm>
                      <a:off x="0" y="0"/>
                      <a:ext cx="5486400" cy="55278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7178259, E 801737 i SWEREF 99 TM.</w:t>
      </w:r>
    </w:p>
    <w:p>
      <w:r>
        <w:t>I avverkningsanmälan finns fynd av 3 naturvårdsarter, varav 3 är rödlistade och 2 är typiska (T): kilporing (VU), harticka (NT, T) och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Kilporing (VU)</w:t>
      </w:r>
      <w:r>
        <w:t xml:space="preserve"> växer på barken av döda liggande grova stammar av tall och gran som är förrötade av tickor som violticka </w:t>
      </w:r>
      <w:r>
        <w:rPr>
          <w:i/>
        </w:rPr>
        <w:t>Trichaptum spp</w:t>
      </w:r>
      <w:r>
        <w:t>. Avverkning av naturskogslika miljöer och av grova granar där svampen förekommer är ett direkt hot mot artens fortlevnad. Undanta gamla granskogar som hyser kilporing från skogsbruk och gynna arten genom att avsätta fler barrskogar till fri utveckling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