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och inom 5 meter från avverkningsanmälan finns fynd av 3 naturvårdsarter, varav 3 är fridlysta och 2 är typiska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