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28206-2026 i Skellefteå kommun</w:t>
      </w:r>
    </w:p>
    <w:p>
      <w:r>
        <w:t>Denna tillsynsbegäran behandlar höga naturvärden i avverkningsanmälan A 28206-2026 i Skellefteå kommun som inkom 2026-06-23 och omfattar 13,3 ha.</w:t>
      </w:r>
    </w:p>
    <w:p>
      <w:pPr>
        <w:pStyle w:val="Caption"/>
      </w:pPr>
      <w:r>
        <w:drawing>
          <wp:inline xmlns:a="http://schemas.openxmlformats.org/drawingml/2006/main" xmlns:pic="http://schemas.openxmlformats.org/drawingml/2006/picture">
            <wp:extent cx="4736561" cy="5724000"/>
            <wp:docPr id="1" name="Picture 1"/>
            <wp:cNvGraphicFramePr>
              <a:graphicFrameLocks noChangeAspect="1"/>
            </wp:cNvGraphicFramePr>
            <a:graphic>
              <a:graphicData uri="http://schemas.openxmlformats.org/drawingml/2006/picture">
                <pic:pic>
                  <pic:nvPicPr>
                    <pic:cNvPr id="0" name="A 28206-2026 karta.png"/>
                    <pic:cNvPicPr/>
                  </pic:nvPicPr>
                  <pic:blipFill>
                    <a:blip r:embed="rId16"/>
                    <a:stretch>
                      <a:fillRect/>
                    </a:stretch>
                  </pic:blipFill>
                  <pic:spPr>
                    <a:xfrm>
                      <a:off x="0" y="0"/>
                      <a:ext cx="4736561"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7187581, E 772541 i SWEREF 99 TM.</w:t>
      </w:r>
    </w:p>
    <w:p>
      <w:r>
        <w:t>I och inom 7 meter från avverkningsanmälan finns fynd av 11 naturvårdsarter, varav 5 är rödlistade, 3 är fridlysta, 10 är typiska (T) och 3 är signalarter (S): dropptaggsvamp (NT, T), lunglav (NT, T), talltita (NT, §4), tretåig hackspett (NT, T, §4), ullticka (NT, T), grönpyrola (S, T), luddlav (S, T), skinnlav (S, T), hultbräken (T), kransmossa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lunglav (NT, T), tretåig hackspett (NT, T, §4), ullticka (NT, T), grönpyrola (S, T), luddlav (S, T), skinnlav (S, T), hultbräken (T),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