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53424-2024 i Skellefteå kommun</w:t>
      </w:r>
    </w:p>
    <w:p>
      <w:r>
        <w:t>Detta dokument behandlar höga naturvärden i avverkningsanmälan A 53424-2024 i Skellefteå kommun. Denna avverkningsanmälan inkom 2024-11-18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blå taggsvamp (NT), orange taggsvamp (NT), svart taggsvamp (NT), tallriska (NT), talltaggsvamp (NT), utter (NT, §4a), dropptaggsvamp (S), plattlummer (S, §9)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5342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7217221, E 750054 i SWEREF 99 TM.</w:t>
      </w:r>
    </w:p>
    <w:p>
      <w:pPr>
        <w:pStyle w:val="Heading1"/>
      </w:pPr>
      <w:r>
        <w:t>Fridlysta arter</w:t>
      </w:r>
    </w:p>
    <w:p>
      <w:r>
        <w:t>Följande fridlysta arter har sina livsmiljöer och växtplatser i den avverkningsanmälda skogen: utter (NT, §4a) och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