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24078-2025 i Skellefteå kommun</w:t>
      </w:r>
    </w:p>
    <w:p>
      <w:r>
        <w:t>Detta dokument behandlar höga naturvärden i avverkningsanmälan A 24078-2025 i Skellefteå kommun. Denna avverkningsanmälan inkom 2025-05-19 13:15:53 och omfattar 6,7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18 naturvårdsarter hittats: kolticka (EN), urskogsporing (EN), blanksvart spiklav (NT), blå taggsvamp (NT), blågrå svartspik (NT), dvärgbägarlav (NT), garnlav (NT), kolflarnlav (NT), nordtagging (NT), stjärntagging (NT), talltita (NT, §4), vedskivlav (NT), dropptaggsvamp (S), luddlav (S), nästlav (S), vedticka (S), lavskrika (§4) och tjäder (§4). Av dessa är 12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348098"/>
            <wp:docPr id="1" name="Picture 1"/>
            <wp:cNvGraphicFramePr>
              <a:graphicFrameLocks noChangeAspect="1"/>
            </wp:cNvGraphicFramePr>
            <a:graphic>
              <a:graphicData uri="http://schemas.openxmlformats.org/drawingml/2006/picture">
                <pic:pic>
                  <pic:nvPicPr>
                    <pic:cNvPr id="0" name="A 24078-2025 karta.png"/>
                    <pic:cNvPicPr/>
                  </pic:nvPicPr>
                  <pic:blipFill>
                    <a:blip r:embed="rId16"/>
                    <a:stretch>
                      <a:fillRect/>
                    </a:stretch>
                  </pic:blipFill>
                  <pic:spPr>
                    <a:xfrm>
                      <a:off x="0" y="0"/>
                      <a:ext cx="5486400" cy="434809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7232701, E 753988 i SWEREF 99 TM.</w:t>
      </w:r>
    </w:p>
    <w:p>
      <w:r>
        <w:rPr>
          <w:b/>
        </w:rPr>
        <w:t>Blanksvart spiklav (NT)</w:t>
      </w:r>
      <w:r>
        <w:t xml:space="preserve"> förekommer på torr, hård, gammal kärnved men även på äldre ytved av tall i naturskogsartade bestånd med begränsad brandpåverkan och ostörd hydrologi. Skogsbruksåtgärder på eller i närheten av lokaler med blanksvart spiklav utgör ett hot. Naturskogsartade öppna tall- och barrblandskogar med blanksvart spiklav indikerar höga biologiska värden och bör bevaras (SLU Artdatabanken, 2024).</w:t>
      </w:r>
    </w:p>
    <w:p>
      <w:r>
        <w:rPr>
          <w:b/>
        </w:rPr>
        <w:t>Blågrå svartspik (NT)</w:t>
      </w:r>
      <w:r>
        <w:t xml:space="preserve"> växer på torr, hård ved av gamla, solbelysta torrakor, högstubbar av tall och grova döda grenar på levande tallar i öppna bestånd av naturskogskaraktär. Nästan alltid rör det sig om tjärrika torrträd och högstubbar (töreved, keloträd) som kan vara en bra bit över hundra år, i vissa fall sannolikt hundratals år gamla. Skogsbruk är idag det allvarligaste hotet. Ett långsiktigt hot är att nybildningen av gamla torrakor och högstubbar är en långsam process vilken ofta är beroende av skogsbrand. Nytt substrat bildas numera sannolikt nästan inte alls då antalet naturliga skogsbränder har minskat drastiskt på grund av effektivare brandbekämpning. Döda träd som lämnas efter avverkning är inte lämpliga för arten, eftersom dessa träd inte varit utsatta för skogsbrand och bildat tjärrik ved. Skogsbruksåtgärder på eller i närheten av växtplatserna bör undvikas. Naturskogsartade skogar med förekomst av arten indikerar höga biologiska värden och bör bevaras. Blågrå svartspik har en mycket begränsad utbredning utanför de nordiska länderna varför dessa länder har ett speciellt ansvar för arten (SLU Artdatabanken, 2024).</w:t>
      </w:r>
    </w:p>
    <w:p>
      <w:r>
        <w:rPr>
          <w:b/>
        </w:rPr>
        <w:t xml:space="preserve">Blå taggsvamp (NT) </w:t>
      </w:r>
      <w:r>
        <w:t>är en karaktärsart i såväl örtrika kalkbarrskogar som i torra sandtallskogar där det föreligger gammal skog med långvarig trädkontinuitet. Är sällsynt och mycket kravfull i södra och mellersta Sverige. Den hotas främst av skogsavverkning och tycks försvinna efter slutavverkning, markberedning och plantering. I kalkgranskogar verkar arten vara mycket känslig. Granskogar med arten bör formellt skydddas (SLU Artdatabanken, 2024; Nitare &amp; Skogsstyrelsen, 2019).</w:t>
      </w:r>
    </w:p>
    <w:p>
      <w:r>
        <w:rPr>
          <w:b/>
        </w:rPr>
        <w:t>Dvärgbägarlav (NT)</w:t>
      </w:r>
      <w:r>
        <w:t xml:space="preserve"> förekommer över hela Sverige på gammal hård ved, huvudsakligen på tall men i södra Sverige även på ek. Veden utgörs framförallt av grova stubbar, lågor och grenar. Substratet har blivit sällsyntare och nybildning av substrat sker bara i begränsad omfattning. Arten hotas av att grova lågor blir allt sällsyntare i dagens kulturskogar samt att nybildningen av lämpliga substrat går mycket långsamt. En riklig tillgång på gamla tall- eller eklågor måste säkerställas på artens lokaler (SLU Artdatabanken, 2024; Nitare &amp; Skogsstyrelsen, 2019).</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(SLU Artdatabanken, 2024).</w:t>
      </w:r>
    </w:p>
    <w:p>
      <w:r>
        <w:rPr>
          <w:b/>
        </w:rPr>
        <w:t xml:space="preserve">Kolticka (EN) </w:t>
      </w:r>
      <w:r>
        <w:t>är starkt hotad art som endast växer på brända ytor av grova tallågor, ett substrat som blir alltmer sällsynt och numera bara påträffas i gammal barrskog. Svampens växtplatser bör undantas från skogsbruk och man bör lägga särskild vikt vid att spara gamla tallar. De kända lokalerna bör övervakas och om behov föreligger ges juridiskt skydd. För att säkerställa artens fortlevnad är det eftersträvansvärt att bränna lämpliga skogspartier och låta den brända veden ligga kvar. På sikt är bristen på lämpligt substrat i det kringliggande landskapet ett hot mot artens fortlevnad (SLU Artdatabanken, 2024).</w:t>
      </w:r>
    </w:p>
    <w:p>
      <w:r>
        <w:rPr>
          <w:b/>
        </w:rPr>
        <w:t>Nordtagging (NT)</w:t>
      </w:r>
      <w:r>
        <w:t xml:space="preserve"> växer främst på tallågor av grövre dimensioner och påträffas huvudsakligen i äldre skog som inte kalavverkats. Nordtaggingen missgynnas av att områden med äldre tallskog har minskat starkt. Bekämpning av skogsbränder, samtidigt som skogsbruket omvandlar naturligt glesa tallbestånd till likartade och betydligt tätare bestånd, har missgynnat arten. Bristen på gamla tallågor utgör på sikt ett allvarligt hot och återskapandet av lämpliga biotoper tar mycket lång tid. Områden med olikåldriga bestånd av tall och med stort inslag av äldre träd bör undantas från skoglig produktion (SLU Artdatabanken, 2024).</w:t>
      </w:r>
    </w:p>
    <w:p>
      <w:r>
        <w:rPr>
          <w:b/>
        </w:rPr>
        <w:t>Stjärntagging (NT)</w:t>
      </w:r>
      <w:r>
        <w:t xml:space="preserve"> signalerar inom hela sitt utbredningsområde höga naturvärden. Svampen är uttorkningskänslig och beroende av ett oförändrat fuktigt mikroklimat. Den är även beroende av en ständig tillgång på död ved i olika nedbrytningsstadier, dock ej nödvändigtvis grova träd. Tidigare påverkan på miljön måste dock ha varit så skonsam att det naturliga skogsekosystemet till stora delar har bevarats. Minskningstakten för den svenska populationen bedöms vara nära gränsvärdet för Sårbar (VU) (SLU Artdatabanken, 2024; Nitare &amp; Skogsstyrelsen, 2019).</w:t>
      </w:r>
    </w:p>
    <w:p>
      <w:r>
        <w:rPr>
          <w:b/>
        </w:rPr>
        <w:t>Urskogsporing (EN)</w:t>
      </w:r>
      <w:r>
        <w:t xml:space="preserve"> är en starkt hotad art som växer på lågor av barrträd, företrädesvis tall, mer sällan gran. Den är hittills bara påträffad i äldre skogsbestånd med tydlig naturskogskaraktär. Urskogsporingen är förmodligen gynnad av brand och den typ av ved som arten växer på nyskapas knappast alls i modernt skogsbruk. Kända lokaler måste skyddas och undantas från skogsbruk (SLU Artdatabanken, 2024).</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(SLU Artdatabanken, 2024).</w:t>
      </w:r>
    </w:p>
    <w:p>
      <w:pPr>
        <w:pStyle w:val="Heading1"/>
      </w:pPr>
      <w:r>
        <w:t>Fridlysta arter</w:t>
      </w:r>
    </w:p>
    <w:p>
      <w:r>
        <w:t>Följande fridlysta arter har sina livsmiljöer och växtplatser i den avverkningsanmälda skogen: talltita (NT, §4), lavskrika (§4) och tjäder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Lavskrika (§4)</w:t>
      </w:r>
      <w:r>
        <w:t>, prioriterad art i Skogsvårdslagen, är en mycket stationär fågel, som häckar i äldre, slutna och hänglavsrika barrskogar. Reviren är livslånga med hemområden som varierar mellan 50 och 150 ha. Inom ett revir av hög kvalitet finns det som regel ett eller flera kärnområden (1–20 ha) med relativt tät flerskiktad granskog. Arten missgynnas när flerskiktad skog omförs till enskiktade bestånd och även röjning och hård gallring är starkt negativt. Lavskrikan har relativt stora hemområden och försvinner när den äldre skogen fragmenteras, särskilt allvarligt är när kärnområdena avverkas. (Skogsstyrelsen 2016). Populationen har minskat med 20–40 % de senaste 30 åren. Arten försvinner successivt framför allt vid dess utbredningsgränser (SLU Artdatabanken, 2021).</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18 naturvårdsarter varav 12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Lavskrika – ekologi samt krav på livsmiljön</w:t>
      </w:r>
    </w:p>
    <w:p>
      <w:r>
        <w:t>Lavskrikan är fridlyst enligt 4 § artskyddsförordningen (2007:845) och ingår i förteckningen över prioriterade arter i Skogsstyrelsens föreskrifter och allmänna råd (SKSFS 2011:7) bilaga 4.</w:t>
      </w:r>
    </w:p>
    <w:p>
      <w:r>
        <w:t xml:space="preserve">I Skogsstyrelsens vägledning för hänsyn till fåglar står bland annat att: </w:t>
      </w:r>
      <w:r>
        <w:rPr>
          <w:i/>
        </w:rPr>
        <w:t>“Reviren är livslånga med hemområden som varierar mellan 50 och 150 ha. Hemområdena har inga fasta gränser utan det handlar mera om de yttre gränserna för familjegruppernas rörelser. Lavskrikan undviker att förflytta sig över stora öppna områden och hemområdesstorleken är därför större i områden fragmenterade av hyggen och yngre skog än i områden med i sammanhängande äldre skog. Det finns studier som antyder att det inom ett revir bör finnas maximalt 15 % öppna ytor och ungskog. Inom ett revir av hög kvalitet finns det som regel ett eller flera kärnområden (1–20 ha) med relativt tät flerskiktad granskog.”</w:t>
      </w:r>
      <w:r>
        <w:t xml:space="preserve"> Vidare att: </w:t>
      </w:r>
      <w:r>
        <w:rPr>
          <w:i/>
        </w:rPr>
        <w:t>“Arten missgynnas när flerskiktad skog omförs till enskiktade bestånd. Även skogsskötsel med återkommande röjning och hård gallring är starkt negativt. Lavskrikan har relativt stora hemområden och försvinner när den äldre skogen fragmenteras, särskilt allvarligt är när kärnområdena avverkas.”</w:t>
      </w:r>
      <w:r>
        <w:t xml:space="preserve"> (Skogsstyrelsen 2016).</w:t>
      </w:r>
    </w:p>
    <w:p>
      <w:r>
        <w:t>Populationen har minskat med 20–40 % de senaste 30 åren, men i Svensk Fågeltaxerings standardrutter varierar antalet kraftigt och ingen minskning kan skönjas de senaste 18 åren. Arten försvinner successivt framför allt vid dess utbredningsgränser (SLU Artdatabanken, 2022).</w:t>
      </w:r>
    </w:p>
    <w:p>
      <w:pPr>
        <w:pStyle w:val="Heading2"/>
      </w:pPr>
      <w:r>
        <w:t>Referenser – lavskrika</w:t>
      </w:r>
    </w:p>
    <w:p>
      <w:r>
        <w:t xml:space="preserve">Skogsstyrelsen, 2016. </w:t>
      </w:r>
      <w:r>
        <w:rPr>
          <w:i/>
        </w:rPr>
        <w:t xml:space="preserve">Vägledning för hänsyn till fåglar – lavskrika. </w:t>
      </w:r>
      <w:r>
        <w:t>https://www.skogsstyrelsen.se/globalassets/lag-och-tillsyn/artskydd/vagledningar-for-hansyn-till-faglar/lavskrika-vagledning-hansyn.pdf</w:t>
      </w:r>
    </w:p>
    <w:p>
      <w:r>
        <w:t xml:space="preserve">SLU Artdatabanken, 2021. </w:t>
      </w:r>
      <w:r>
        <w:rPr>
          <w:i/>
        </w:rPr>
        <w:t xml:space="preserve">Artfaktablad. Naturvård – artfakta. </w:t>
      </w:r>
      <w:r>
        <w:t>SLU Artdatabanken, Uppsala</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Tjäder – ekologi samt krav på livsmiljön</w:t>
      </w:r>
    </w:p>
    <w:p>
      <w:r>
        <w:t>Tjäder (§4)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 xml:space="preserve">Vägledning för hänsyn till fåglar – tjäder. </w:t>
      </w:r>
      <w:r>
        <w:t>https://www.skogsstyrelsen.se/globalassets/lag-och-tillsyn/artskydd/vagledningar-for-hansyn-till-faglar/tjader-vagledning-hansyn2.pdf</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2025-09-28</w:t>
      <w:br/>
      <w:br/>
    </w:r>
    <w:r>
      <w:t>Till: Holmen skog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