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42761-2026 i Skellefteå kommun</w:t>
      </w:r>
    </w:p>
    <w:p>
      <w:r>
        <w:t>Detta klagomål behandlar höga naturvärden i avverkningsanmälan A 42761-2026 i Skellefteå kommun som inkom 2026-10-14 och omfattar 6,2 ha.</w:t>
      </w:r>
    </w:p>
    <w:p>
      <w:pPr>
        <w:pStyle w:val="Caption"/>
      </w:pPr>
      <w:r>
        <w:drawing>
          <wp:inline xmlns:a="http://schemas.openxmlformats.org/drawingml/2006/main" xmlns:pic="http://schemas.openxmlformats.org/drawingml/2006/picture">
            <wp:extent cx="5002107" cy="5724000"/>
            <wp:docPr id="1" name="Picture 1"/>
            <wp:cNvGraphicFramePr>
              <a:graphicFrameLocks noChangeAspect="1"/>
            </wp:cNvGraphicFramePr>
            <a:graphic>
              <a:graphicData uri="http://schemas.openxmlformats.org/drawingml/2006/picture">
                <pic:pic>
                  <pic:nvPicPr>
                    <pic:cNvPr id="0" name="A 42761-2026 karta.png"/>
                    <pic:cNvPicPr/>
                  </pic:nvPicPr>
                  <pic:blipFill>
                    <a:blip r:embed="rId16"/>
                    <a:stretch>
                      <a:fillRect/>
                    </a:stretch>
                  </pic:blipFill>
                  <pic:spPr>
                    <a:xfrm>
                      <a:off x="0" y="0"/>
                      <a:ext cx="500210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7217635, E 774252 i SWEREF 99 TM.</w:t>
      </w:r>
    </w:p>
    <w:p>
      <w:r>
        <w:t>I och inom 25 meter från avverkningsanmälan finns fynd av 9 naturvårdsarter, varav 9 är rödlistade och 4 är typiska (T): goliatmusseron (VU, T), smalfotad taggsvamp (VU), blanksvart spiklav (NT), blå taggsvamp (NT, T), dropptaggsvamp (NT, T), mörk kolflarnlav (NT), orange taggsvamp (NT, T), svartvit taggsvamp (NT)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