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1253-2025 i Skellefteå kommun</w:t>
      </w:r>
    </w:p>
    <w:p>
      <w:r>
        <w:t>Detta klagomål behandlar höga naturvärden i samrådsanmälan S 1253-2025 i Skellefteå kommun som inkom 2025-04-15 och omfattar 554,7 ha.</w:t>
      </w:r>
    </w:p>
    <w:p>
      <w:pPr>
        <w:pStyle w:val="Caption"/>
      </w:pPr>
      <w:r>
        <w:drawing>
          <wp:inline xmlns:a="http://schemas.openxmlformats.org/drawingml/2006/main" xmlns:pic="http://schemas.openxmlformats.org/drawingml/2006/picture">
            <wp:extent cx="5486400" cy="4702089"/>
            <wp:docPr id="1" name="Picture 1"/>
            <wp:cNvGraphicFramePr>
              <a:graphicFrameLocks noChangeAspect="1"/>
            </wp:cNvGraphicFramePr>
            <a:graphic>
              <a:graphicData uri="http://schemas.openxmlformats.org/drawingml/2006/picture">
                <pic:pic>
                  <pic:nvPicPr>
                    <pic:cNvPr id="0" name="S 1253-2025 karta.png"/>
                    <pic:cNvPicPr/>
                  </pic:nvPicPr>
                  <pic:blipFill>
                    <a:blip r:embed="rId16"/>
                    <a:stretch>
                      <a:fillRect/>
                    </a:stretch>
                  </pic:blipFill>
                  <pic:spPr>
                    <a:xfrm>
                      <a:off x="0" y="0"/>
                      <a:ext cx="5486400" cy="4702089"/>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7152005, E 762915 i SWEREF 99 TM.</w:t>
      </w:r>
    </w:p>
    <w:p>
      <w:r>
        <w:t>I och inom 16 meter från samrådsanmälan finns fynd av 7 naturvårdsarter, varav 5 är rödlistade, 2 är fridlysta, 5 är typiska (T) och 2 är signalarter (S): lunglav (NT, T), motaggsvamp (NT, T), orange taggsvamp (NT, T), rödvingetrast (NT, §4), talltita (NT, §4), bårdlav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