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flodpärlmussla (EN)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510"/>
            <wp:docPr id="2" name="Picture 2"/>
            <wp:cNvGraphicFramePr>
              <a:graphicFrameLocks noChangeAspect="1"/>
            </wp:cNvGraphicFramePr>
            <a:graphic>
              <a:graphicData uri="http://schemas.openxmlformats.org/drawingml/2006/picture">
                <pic:pic>
                  <pic:nvPicPr>
                    <pic:cNvPr id="0" name="A 41087-2023 karta knärot.png"/>
                    <pic:cNvPicPr/>
                  </pic:nvPicPr>
                  <pic:blipFill>
                    <a:blip r:embed="rId17"/>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7191273, E 754074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