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35483-2026 i Skellefteå kommun</w:t>
      </w:r>
    </w:p>
    <w:p>
      <w:r>
        <w:t>Detta klagomål behandlar höga naturvärden i avverkningsanmälan A 35483-2026 i Skellefteå kommun som inkom 2026-08-28 och omfattar 7,2 ha.</w:t>
      </w:r>
    </w:p>
    <w:p>
      <w:pPr>
        <w:pStyle w:val="Caption"/>
      </w:pPr>
      <w:r>
        <w:drawing>
          <wp:inline xmlns:a="http://schemas.openxmlformats.org/drawingml/2006/main" xmlns:pic="http://schemas.openxmlformats.org/drawingml/2006/picture">
            <wp:extent cx="5486400" cy="5377049"/>
            <wp:docPr id="1" name="Picture 1"/>
            <wp:cNvGraphicFramePr>
              <a:graphicFrameLocks noChangeAspect="1"/>
            </wp:cNvGraphicFramePr>
            <a:graphic>
              <a:graphicData uri="http://schemas.openxmlformats.org/drawingml/2006/picture">
                <pic:pic>
                  <pic:nvPicPr>
                    <pic:cNvPr id="0" name="A 35483-2026 karta.png"/>
                    <pic:cNvPicPr/>
                  </pic:nvPicPr>
                  <pic:blipFill>
                    <a:blip r:embed="rId16"/>
                    <a:stretch>
                      <a:fillRect/>
                    </a:stretch>
                  </pic:blipFill>
                  <pic:spPr>
                    <a:xfrm>
                      <a:off x="0" y="0"/>
                      <a:ext cx="5486400" cy="537704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7224059, E 747111 i SWEREF 99 TM.</w:t>
      </w:r>
    </w:p>
    <w:p>
      <w:r>
        <w:t>I avverkningsanmälan finns fynd av 1 naturvårdsarter, varav 1 är rödlistad: grenlav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Grenlav (VU) </w:t>
      </w:r>
      <w:r>
        <w:t>förekommer i gamla boreala barrskogar med hög luftfuktighet, särskilt på stora myrar, i fjällnära skog, vid bäckar och i sumpskogar. Den är placerad högst upp i Skogsstyrelsens värdepyramid för bedömning av skog med höga naturvärden och kräver konstant hög luftfuktighet med lång kontinuitet av gamla träd och torrträd. Lokaler med arten bör undantas från skogliga skötselåtgärder och de rikaste lokalerna bör få ett permanent skydd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