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31718-2025 i Skellefteå kommun</w:t>
      </w:r>
    </w:p>
    <w:p>
      <w:r>
        <w:t>Denna tillsynsbegäran behandlar höga naturvärden i avverkningsanmälan A 31718-2025 i Skellefteå kommun som inkom 2025-06-26 och omfattar 4,3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31718-2025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7201996, E 758809 i SWEREF 99 TM.</w:t>
      </w:r>
    </w:p>
    <w:p>
      <w:r>
        <w:t>I och inom 22 meter från avverkningsanmälan finns fynd av 17 naturvårdsarter, varav 9 är rödlistade, 7 är fridlysta, 13 är typiska (T) och 6 är signalarter (S): garnlav (VU, T), knärot (VU, T, §8), Skeletocutis delicata (VU), tornseglare (VU, §4), ulltickeporing (VU), gammelgransskål (NT, T), lunglav (NT, T), tretåig hackspett (NT, T, §4), ullticka (NT, T), grönpyrola (S, T), norrlandslav (S, T), plattlummer (S, T, §9), spindelblomster (S, T, §8), tibast (S, T), ögonpyrola (S, T), tjäder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7649940"/>
            <wp:docPr id="2" name="Picture 2"/>
            <wp:cNvGraphicFramePr>
              <a:graphicFrameLocks noChangeAspect="1"/>
            </wp:cNvGraphicFramePr>
            <a:graphic>
              <a:graphicData uri="http://schemas.openxmlformats.org/drawingml/2006/picture">
                <pic:pic>
                  <pic:nvPicPr>
                    <pic:cNvPr id="0" name="A 31718-2025 karta knärot.png"/>
                    <pic:cNvPicPr/>
                  </pic:nvPicPr>
                  <pic:blipFill>
                    <a:blip r:embed="rId17"/>
                    <a:stretch>
                      <a:fillRect/>
                    </a:stretch>
                  </pic:blipFill>
                  <pic:spPr>
                    <a:xfrm>
                      <a:off x="0" y="0"/>
                      <a:ext cx="5486400" cy="7649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7201996, E 758809 i SWEREF 99 TM.</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tretåig hackspett (NT, T, §4), ullticka (NT, T), grönpyrola (S, T), norrlandslav (S, T), plattlummer (S, T, §9), spindelblomster (S, T, §8), tibast (S, T), ögonpyrola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