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48272-2024 i Skellefteå kommun</w:t>
      </w:r>
    </w:p>
    <w:p>
      <w:r>
        <w:t>Detta klagomål behandlar höga naturvärden i avverkningsanmälan A 48272-2024 i Skellefteå kommun som inkom 2024-10-25 och omfattar 12,5 ha.</w:t>
      </w:r>
    </w:p>
    <w:p>
      <w:pPr>
        <w:pStyle w:val="Caption"/>
      </w:pPr>
      <w:r>
        <w:drawing>
          <wp:inline xmlns:a="http://schemas.openxmlformats.org/drawingml/2006/main" xmlns:pic="http://schemas.openxmlformats.org/drawingml/2006/picture">
            <wp:extent cx="5486400" cy="4975467"/>
            <wp:docPr id="1" name="Picture 1"/>
            <wp:cNvGraphicFramePr>
              <a:graphicFrameLocks noChangeAspect="1"/>
            </wp:cNvGraphicFramePr>
            <a:graphic>
              <a:graphicData uri="http://schemas.openxmlformats.org/drawingml/2006/picture">
                <pic:pic>
                  <pic:nvPicPr>
                    <pic:cNvPr id="0" name="A 48272-2024 karta.png"/>
                    <pic:cNvPicPr/>
                  </pic:nvPicPr>
                  <pic:blipFill>
                    <a:blip r:embed="rId16"/>
                    <a:stretch>
                      <a:fillRect/>
                    </a:stretch>
                  </pic:blipFill>
                  <pic:spPr>
                    <a:xfrm>
                      <a:off x="0" y="0"/>
                      <a:ext cx="5486400" cy="497546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7175228, E 803000 i SWEREF 99 TM.</w:t>
      </w:r>
    </w:p>
    <w:p>
      <w:r>
        <w:t>I avverkningsanmälan finns fynd av 7 naturvårdsarter, varav 7 är rödlistade, 1 är fridlyst och 6 är typiska (T): harticka (NT, T), rosenticka (NT, T), stjärntagging (NT, T), tretåig hackspett (NT, T, §4), ullticka (NT, T), violettgrå tagellav (NT, T) och vågticka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 xml:space="preserve">Vågticka (NT) </w:t>
      </w:r>
      <w:r>
        <w:t>förekommer främst i rikare kontinuitetsskogar med mycket död ved. Den växer på grova lågor och stubbar av gran och asp, men ibland även på andra trädslag.  Arten missgynnas av slutavverkning av äldre barrskog med lång skoglig kontinuitet, men även av skogliga åtgärder som t.ex. markberedning som förstör lågor. Minskningstakten för den svenska populationen bedöms vara nära gränsvärdet för sårbar (VU)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