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22797-2026 i Skellefteå kommun</w:t>
      </w:r>
    </w:p>
    <w:p>
      <w:r>
        <w:t>Detta klagomål behandlar höga naturvärden i avverkningsanmälan A 22797-2026 i Skellefteå kommun som inkom 2026-05-16 och omfattar 14,0 ha.</w:t>
      </w:r>
    </w:p>
    <w:p>
      <w:pPr>
        <w:pStyle w:val="Caption"/>
      </w:pPr>
      <w:r>
        <w:drawing>
          <wp:inline xmlns:a="http://schemas.openxmlformats.org/drawingml/2006/main" xmlns:pic="http://schemas.openxmlformats.org/drawingml/2006/picture">
            <wp:extent cx="5486400" cy="3097648"/>
            <wp:docPr id="1" name="Picture 1"/>
            <wp:cNvGraphicFramePr>
              <a:graphicFrameLocks noChangeAspect="1"/>
            </wp:cNvGraphicFramePr>
            <a:graphic>
              <a:graphicData uri="http://schemas.openxmlformats.org/drawingml/2006/picture">
                <pic:pic>
                  <pic:nvPicPr>
                    <pic:cNvPr id="0" name="A 22797-2026 karta.png"/>
                    <pic:cNvPicPr/>
                  </pic:nvPicPr>
                  <pic:blipFill>
                    <a:blip r:embed="rId16"/>
                    <a:stretch>
                      <a:fillRect/>
                    </a:stretch>
                  </pic:blipFill>
                  <pic:spPr>
                    <a:xfrm>
                      <a:off x="0" y="0"/>
                      <a:ext cx="5486400" cy="309764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7182080, E 769056 i SWEREF 99 TM.</w:t>
      </w:r>
    </w:p>
    <w:p>
      <w:r>
        <w:t>I och inom 14 meter från avverkningsanmälan finns fynd av 14 naturvårdsarter, varav 11 är rödlistade, 3 är fridlysta, 12 är typiska (T) och 2 är signalarter (S): fläckporing (VU, T), garnlav (VU, T), gräddporing (VU, T), knärot (VU, T, §8), rosenticka (NT, T), rynkskinn (NT, T), tretåig hackspett (NT, T, §4), ullticka (NT, T), vedflamlav (NT), violettgrå tagellav (NT, T), vitplätt (NT), grovticka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2841239"/>
            <wp:docPr id="2" name="Picture 2"/>
            <wp:cNvGraphicFramePr>
              <a:graphicFrameLocks noChangeAspect="1"/>
            </wp:cNvGraphicFramePr>
            <a:graphic>
              <a:graphicData uri="http://schemas.openxmlformats.org/drawingml/2006/picture">
                <pic:pic>
                  <pic:nvPicPr>
                    <pic:cNvPr id="0" name="A 22797-2026 karta knärot.png"/>
                    <pic:cNvPicPr/>
                  </pic:nvPicPr>
                  <pic:blipFill>
                    <a:blip r:embed="rId17"/>
                    <a:stretch>
                      <a:fillRect/>
                    </a:stretch>
                  </pic:blipFill>
                  <pic:spPr>
                    <a:xfrm>
                      <a:off x="0" y="0"/>
                      <a:ext cx="5486400" cy="28412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7182080, E 769056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