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31718-2025 i Skellefteå kommun</w:t>
      </w:r>
    </w:p>
    <w:p>
      <w:r>
        <w:t>Detta dokument behandlar höga naturvärden i avverkningsanmälan A 31718-2025 i Skellefteå kommun som inkom 2025-06-26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22 meter från avverkningsanmälan har följande 17 naturvårdsarter hittats: garnlav (VU, T), knärot (VU, T, §8), Skeletocutis delicata (VU), tornseglare (VU, §4), ulltickeporing (VU), gammelgransskål (NT, T), lunglav (NT, T), tretåig hackspett (NT, T, §4), ullticka (NT, T), grönpyrola (S, T), norrlandslav (S, T), plattlummer (S, T, §9), spindelblomster (S, T, §8), tibast (S, T), ögonpyrola (S, T), tjäder (T, §4) och nattviol (§8). Av dessa är 9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11748"/>
            <wp:docPr id="1" name="Picture 1"/>
            <wp:cNvGraphicFramePr>
              <a:graphicFrameLocks noChangeAspect="1"/>
            </wp:cNvGraphicFramePr>
            <a:graphic>
              <a:graphicData uri="http://schemas.openxmlformats.org/drawingml/2006/picture">
                <pic:pic>
                  <pic:nvPicPr>
                    <pic:cNvPr id="0" name="A 31718-2025 karta.png"/>
                    <pic:cNvPicPr/>
                  </pic:nvPicPr>
                  <pic:blipFill>
                    <a:blip r:embed="rId16"/>
                    <a:stretch>
                      <a:fillRect/>
                    </a:stretch>
                  </pic:blipFill>
                  <pic:spPr>
                    <a:xfrm>
                      <a:off x="0" y="0"/>
                      <a:ext cx="5486400" cy="5611748"/>
                    </a:xfrm>
                    <a:prstGeom prst="rect"/>
                  </pic:spPr>
                </pic:pic>
              </a:graphicData>
            </a:graphic>
          </wp:inline>
        </w:drawing>
      </w:r>
    </w:p>
    <w:p>
      <w:pPr>
        <w:pStyle w:val="Caption"/>
        <w:spacing w:after="240"/>
      </w:pPr>
      <w:r>
        <w:t>Figur 1. Fyndplatser för naturvårdsarter i och inom 22 meter från avverkningsanmälan (röd linje). Markörer utan svart kant är placerade på fyndplatsen. Markörer med svart kant är placerade vid sidan av fyndplatsen och har ett svart streck som visar fyndplatsens exakta position. Kartans mittpunktskoordinat är N 7201996, E 758809 i SWEREF 99 TM.</w:t>
      </w:r>
    </w:p>
    <w:p>
      <w:pPr>
        <w:pStyle w:val="Heading2"/>
      </w:pPr>
      <w:r>
        <w:t>Fridlysta arter</w:t>
      </w:r>
    </w:p>
    <w:p>
      <w:r>
        <w:t>Följande fridlysta arter har sina livsmiljöer och växtplatser i den avverkningsanmälda skogen: knärot (VU, T, §8), tornseglare (VU, §4), tretåig hackspett (NT, T, §4), plattlummer (S, T, §9), spindelblomster (S, T, §8), tjäder (T,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7649940"/>
            <wp:docPr id="2" name="Picture 2"/>
            <wp:cNvGraphicFramePr>
              <a:graphicFrameLocks noChangeAspect="1"/>
            </wp:cNvGraphicFramePr>
            <a:graphic>
              <a:graphicData uri="http://schemas.openxmlformats.org/drawingml/2006/picture">
                <pic:pic>
                  <pic:nvPicPr>
                    <pic:cNvPr id="0" name="A 31718-2025 karta knärot.png"/>
                    <pic:cNvPicPr/>
                  </pic:nvPicPr>
                  <pic:blipFill>
                    <a:blip r:embed="rId17"/>
                    <a:stretch>
                      <a:fillRect/>
                    </a:stretch>
                  </pic:blipFill>
                  <pic:spPr>
                    <a:xfrm>
                      <a:off x="0" y="0"/>
                      <a:ext cx="5486400" cy="76499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7201996, E 758809 i SWEREF 99 TM.</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i/>
        </w:rPr>
        <w:t>Skeletocutis delicata</w:t>
      </w:r>
      <w:r>
        <w:rPr>
          <w:b/>
        </w:rPr>
        <w:t xml:space="preserve"> (VU)</w:t>
      </w:r>
      <w:r>
        <w:t xml:space="preserve"> orsakar vitröta på granved och påträffas främst på och intill gamla fruktkroppar av ullticka (NT). Arten verkar föredra sluten skog med grova lågor och en fortgående minskning på nationell nivå bedöms pågå, huvudsakligen p.g.a. slutavverkning av äldre barrskog, samt att uppväxande brukade skogar innehåller påtagligt mindre mängd död ved av lämplig kvalitet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