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dokument behandlar höga naturvärden i avverkningsanmälan A 46492-2023 i Skellefteå kommun som inkom 2023-09-25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9 naturvårdsarter hittats: ortolansparv (CR, §4), storspov (EN, §4), gulsparv (NT, §4), ladusvala (NT, §4), rödvingetrast (NT, §4), skrattmås (NT, §4), sädesärla (NT, §4), buskskvätta (§4) och grönsiska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9105" cy="5688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08910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7204405, E 781870 i SWEREF 99 TM.</w:t>
      </w:r>
    </w:p>
    <w:p>
      <w:pPr>
        <w:pStyle w:val="Heading2"/>
      </w:pPr>
      <w:r>
        <w:t>Fridlysta arter</w:t>
      </w:r>
    </w:p>
    <w:p>
      <w:r>
        <w:t>Följande fridlysta arter har sina livsmiljöer och växtplatser i den avverkningsanmälda skogen: ortolansparv (CR, §4), storspov (EN, §4), gulsparv (NT, §4), ladusvala (NT, §4), rödvingetrast (NT, §4), skrattmås (NT, §4), sädesärla (NT, §4), buskskvätta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