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11867-2022 i Skellefteå kommun</w:t>
      </w:r>
    </w:p>
    <w:p>
      <w:r>
        <w:t>Detta dokument behandlar höga naturvärden i avverkningsanmälan A 11867-2022 i Skellefteå kommun. Denna avverkningsanmälan inkom 2022-03-15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nordlig flatbagge (VU), kolflarnlav (NT), skrovlig flatbagge (NT), spillkråka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7194757, E 752389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Nordlig flatbagge</w:t>
      </w:r>
      <w:r>
        <w:rPr>
          <w:b/>
          <w:i/>
        </w:rPr>
        <w:t xml:space="preserve"> </w:t>
      </w:r>
      <w:r>
        <w:rPr>
          <w:b/>
        </w:rPr>
        <w:t xml:space="preserve">(VU) </w:t>
      </w:r>
      <w:r>
        <w:t>är starkt knuten till naturskogar med äldre björk, ofta på brandfält med döda björkar. Skalbaggens larvutveckling sker i mycelhaltig ved i grova stammar eller stubbar av lövträd, främst björk med fnöskticka, mer sällan på andra trädslag. Fullbildade skalbaggar påträffas under juni-september, ofta vid näringsgnag på undersidan av levande fnösktickor. Arten hotas av brist på utvecklingssubstrat, bland annat beroende på att björk ofta gallras ut från skogsbestånden redan på ett tidigt stadium och att det ökade värdet på massaved av björk gjort att äldre björkar tillvaratas i allt större utsträckning i samband med slutavverkningar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