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40134-2020 i Skellefteå kommun</w:t>
      </w:r>
    </w:p>
    <w:p>
      <w:r>
        <w:t>Detta dokument behandlar höga naturvärden i avverkningsanmälan A 40134-2020 i Skellefteå kommun. Denna avverkningsanmälan inkom 2020-08-24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större svartbagge (EN) och stekelbock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40134-2020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7177564, E 795277 i SWEREF 99 TM.</w:t>
      </w:r>
    </w:p>
    <w:p>
      <w:r>
        <w:rPr>
          <w:b/>
        </w:rPr>
        <w:t>Större svartbagge (EN)</w:t>
      </w:r>
      <w:r>
        <w:t xml:space="preserve"> är en starkt hotad skalbagge vars larvutveckling sker i mycelhaltig innerbark och splintved, främst på grova, döda, solexponerade och gärna brandskadade björkar, men även på sälg, asp och gråal. Huvudsakligen utnyttjas träd angripna av fnöskticka. Arten hotas av att mängden björkved minskat genom flera decenniers aktiv lövbekämpning i det boreala skogslandskapet, samt av uteblivna bränder. Större svartbagge ingår i ett åtgärdsprogram för hotade arter (ÅGP) och den är rödlistad som nära hotad (NT) i den europeiska rödlistan (SLU Artdatabanken, 2024; Wikars, 2008;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