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899-2023 i Skellefteå kommun</w:t>
      </w:r>
    </w:p>
    <w:p>
      <w:r>
        <w:t>Detta dokument behandlar höga naturvärden i avverkningsanmälan A 899-2023 i Skellefteå kommun. Denna avverkningsanmälan inkom 2023-01-05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goliatmusseron (VU), lakritsmusseron (VU), tallgråticka (VU), blanksvart spiklav (NT), blå taggsvamp (NT), mospindling (NT), motaggsvamp (NT), orange taggsvamp (NT), skrovlig taggsvamp (NT), svartvit taggsvamp (NT), tallriska (NT), talltaggsvamp (NT), dropptaggsvamp (S), plattlummer (S, §9), skarp dropptaggsvamp (S), tjäder (§4), vanlig groda (§6)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5148"/>
            <wp:docPr id="1" name="Picture 1"/>
            <wp:cNvGraphicFramePr>
              <a:graphicFrameLocks noChangeAspect="1"/>
            </wp:cNvGraphicFramePr>
            <a:graphic>
              <a:graphicData uri="http://schemas.openxmlformats.org/drawingml/2006/picture">
                <pic:pic>
                  <pic:nvPicPr>
                    <pic:cNvPr id="0" name="A 899-2023 karta.png"/>
                    <pic:cNvPicPr/>
                  </pic:nvPicPr>
                  <pic:blipFill>
                    <a:blip r:embed="rId16"/>
                    <a:stretch>
                      <a:fillRect/>
                    </a:stretch>
                  </pic:blipFill>
                  <pic:spPr>
                    <a:xfrm>
                      <a:off x="0" y="0"/>
                      <a:ext cx="5486400" cy="5945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7215934, E 751430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Mospindling (NT)</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vilket innebär att Sverige har ett internationellt ansvar för arten (IUCN, 2025;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Fridlysta arter</w:t>
      </w:r>
    </w:p>
    <w:p>
      <w:r>
        <w:t>Följande fridlysta arter har sina livsmiljöer och växtplatser i den avverkningsanmälda skogen: plattlummer (S, §9), tjäder (§4), vanlig groda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